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Lines/>
        <w:pageBreakBefore/>
        <w:wordWrap/>
        <w:topLinePunct w:val="0"/>
        <w:bidi w:val="0"/>
        <w:spacing w:after="120" w:line="500" w:lineRule="exact"/>
        <w:jc w:val="center"/>
        <w:textAlignment w:val="auto"/>
        <w:outlineLvl w:val="9"/>
        <w:rPr>
          <w:rFonts w:hint="eastAsia" w:ascii="宋体" w:hAnsi="宋体" w:eastAsia="宋体" w:cs="Times New Roman"/>
          <w:b/>
          <w:bCs w:val="0"/>
          <w:color w:val="auto"/>
          <w:kern w:val="44"/>
          <w:sz w:val="28"/>
          <w:szCs w:val="28"/>
        </w:rPr>
      </w:pPr>
      <w:bookmarkStart w:id="0" w:name="_Toc508394001"/>
      <w:bookmarkStart w:id="1" w:name="_Toc511083402"/>
      <w:bookmarkStart w:id="2" w:name="_Toc510040256"/>
      <w:bookmarkStart w:id="3" w:name="_Toc52111832"/>
      <w:bookmarkStart w:id="4" w:name="_Toc5146"/>
      <w:bookmarkStart w:id="5" w:name="_Toc508451944"/>
      <w:bookmarkStart w:id="6" w:name="_Toc33475129"/>
      <w:bookmarkStart w:id="7" w:name="_Toc26483573"/>
      <w:bookmarkStart w:id="8" w:name="_Toc523675094"/>
      <w:bookmarkStart w:id="9" w:name="_Toc508395089"/>
      <w:bookmarkStart w:id="10" w:name="_Toc511083103"/>
      <w:bookmarkStart w:id="11" w:name="_Toc510900743"/>
      <w:bookmarkStart w:id="12" w:name="_Toc68809340"/>
      <w:bookmarkStart w:id="13" w:name="_Toc10297156"/>
      <w:bookmarkStart w:id="14" w:name="_Toc51333409"/>
      <w:bookmarkStart w:id="15" w:name="_Toc523674983"/>
      <w:bookmarkStart w:id="16" w:name="_Toc67911167"/>
      <w:bookmarkStart w:id="17" w:name="_Toc26484115"/>
      <w:bookmarkStart w:id="18" w:name="_Toc51333601"/>
      <w:bookmarkStart w:id="19" w:name="_Toc51333738"/>
      <w:bookmarkStart w:id="20" w:name="_Toc511082998"/>
      <w:bookmarkStart w:id="21" w:name="_Toc10300518"/>
      <w:bookmarkStart w:id="22" w:name="_Toc508394623"/>
      <w:bookmarkStart w:id="23" w:name="_Toc68809455"/>
      <w:bookmarkStart w:id="24" w:name="_Toc52111975"/>
      <w:bookmarkStart w:id="25" w:name="_Toc16164"/>
      <w:bookmarkStart w:id="26" w:name="_Toc12400"/>
      <w:bookmarkStart w:id="27" w:name="_Toc28753"/>
      <w:bookmarkStart w:id="28" w:name="_Toc25070"/>
      <w:bookmarkStart w:id="29" w:name="_Toc102829650"/>
      <w:bookmarkStart w:id="30" w:name="_Toc27375"/>
      <w:bookmarkStart w:id="31" w:name="_Toc2128"/>
      <w:bookmarkStart w:id="32" w:name="_Toc11287"/>
      <w:bookmarkStart w:id="33" w:name="_Toc18103"/>
      <w:r>
        <w:rPr>
          <w:rFonts w:hint="eastAsia" w:ascii="宋体" w:hAnsi="宋体" w:eastAsia="宋体" w:cs="Times New Roman"/>
          <w:b/>
          <w:bCs w:val="0"/>
          <w:color w:val="auto"/>
          <w:kern w:val="44"/>
          <w:sz w:val="28"/>
          <w:szCs w:val="28"/>
        </w:rPr>
        <w:t>前言</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p>
      <w:pPr>
        <w:pStyle w:val="116"/>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560" w:firstLineChars="200"/>
        <w:jc w:val="both"/>
        <w:textAlignment w:val="auto"/>
        <w:rPr>
          <w:rStyle w:val="114"/>
          <w:rFonts w:hint="eastAsia" w:ascii="宋体" w:hAnsi="宋体" w:eastAsia="宋体" w:cs="宋体"/>
          <w:color w:val="auto"/>
          <w:sz w:val="28"/>
          <w:szCs w:val="28"/>
          <w:lang w:val="zh-TW" w:eastAsia="zh-TW"/>
        </w:rPr>
      </w:pPr>
      <w:r>
        <w:rPr>
          <w:rStyle w:val="114"/>
          <w:rFonts w:hint="eastAsia" w:ascii="宋体" w:hAnsi="宋体" w:eastAsia="宋体" w:cs="宋体"/>
          <w:color w:val="auto"/>
          <w:sz w:val="28"/>
          <w:szCs w:val="28"/>
          <w:lang w:val="zh-TW" w:eastAsia="zh-TW"/>
        </w:rPr>
        <w:t>随着我国法制化的日趋健全和完善，安全生产监督管理体系也逐渐向科学化、规范化、制度化发展。安全评价</w:t>
      </w:r>
      <w:r>
        <w:rPr>
          <w:rStyle w:val="114"/>
          <w:rFonts w:hint="eastAsia" w:ascii="宋体" w:hAnsi="宋体" w:eastAsia="宋体" w:cs="宋体"/>
          <w:color w:val="auto"/>
          <w:sz w:val="28"/>
          <w:szCs w:val="28"/>
          <w:lang w:val="zh-TW"/>
        </w:rPr>
        <w:t>已</w:t>
      </w:r>
      <w:r>
        <w:rPr>
          <w:rStyle w:val="114"/>
          <w:rFonts w:hint="eastAsia" w:ascii="宋体" w:hAnsi="宋体" w:eastAsia="宋体" w:cs="宋体"/>
          <w:color w:val="auto"/>
          <w:sz w:val="28"/>
          <w:szCs w:val="28"/>
          <w:lang w:val="zh-TW" w:eastAsia="zh-TW"/>
        </w:rPr>
        <w:t>成为建设项目和生产经营单位指导安全生产必不可少的科技手段。为企业提供安全科学依据，为安全生产监督管理部门提供技术支撑的活动，已成为安全生产管理体系中的一个重要环节。</w:t>
      </w:r>
    </w:p>
    <w:p>
      <w:pPr>
        <w:pStyle w:val="116"/>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560" w:firstLineChars="200"/>
        <w:jc w:val="both"/>
        <w:textAlignment w:val="auto"/>
        <w:rPr>
          <w:rStyle w:val="114"/>
          <w:rFonts w:hint="eastAsia" w:ascii="宋体" w:hAnsi="宋体" w:eastAsia="宋体" w:cs="宋体"/>
          <w:color w:val="auto"/>
          <w:kern w:val="2"/>
          <w:sz w:val="28"/>
          <w:szCs w:val="28"/>
          <w:lang w:val="zh-TW" w:eastAsia="zh-TW"/>
        </w:rPr>
      </w:pPr>
      <w:r>
        <w:rPr>
          <w:rStyle w:val="114"/>
          <w:rFonts w:hint="eastAsia" w:ascii="宋体" w:hAnsi="宋体" w:eastAsia="宋体" w:cs="宋体"/>
          <w:color w:val="auto"/>
          <w:kern w:val="2"/>
          <w:sz w:val="28"/>
          <w:szCs w:val="28"/>
          <w:lang w:val="zh-TW" w:eastAsia="zh-CN"/>
        </w:rPr>
        <w:t>牟定共和西山寺砂场</w:t>
      </w:r>
      <w:r>
        <w:rPr>
          <w:rStyle w:val="114"/>
          <w:rFonts w:hint="eastAsia" w:ascii="宋体" w:hAnsi="宋体" w:eastAsia="宋体" w:cs="宋体"/>
          <w:color w:val="auto"/>
          <w:kern w:val="2"/>
          <w:sz w:val="28"/>
          <w:szCs w:val="28"/>
          <w:lang w:val="zh-TW" w:eastAsia="zh-TW"/>
        </w:rPr>
        <w:t>根据国家及云南省相关要求，于</w:t>
      </w:r>
      <w:r>
        <w:rPr>
          <w:rStyle w:val="114"/>
          <w:rFonts w:hint="eastAsia" w:ascii="宋体" w:hAnsi="宋体" w:eastAsia="宋体" w:cs="宋体"/>
          <w:color w:val="auto"/>
          <w:kern w:val="2"/>
          <w:sz w:val="28"/>
          <w:szCs w:val="28"/>
          <w:lang w:val="en-US" w:eastAsia="zh-CN"/>
        </w:rPr>
        <w:t>2017年完成了转型升级</w:t>
      </w:r>
      <w:r>
        <w:rPr>
          <w:rStyle w:val="114"/>
          <w:rFonts w:hint="eastAsia" w:ascii="宋体" w:hAnsi="宋体" w:eastAsia="宋体" w:cs="宋体"/>
          <w:color w:val="auto"/>
          <w:kern w:val="2"/>
          <w:sz w:val="28"/>
          <w:szCs w:val="28"/>
          <w:lang w:val="zh-TW" w:eastAsia="zh-TW"/>
        </w:rPr>
        <w:t>。于201</w:t>
      </w:r>
      <w:r>
        <w:rPr>
          <w:rStyle w:val="114"/>
          <w:rFonts w:hint="eastAsia" w:ascii="宋体" w:hAnsi="宋体" w:eastAsia="宋体" w:cs="宋体"/>
          <w:color w:val="auto"/>
          <w:kern w:val="2"/>
          <w:sz w:val="28"/>
          <w:szCs w:val="28"/>
          <w:lang w:val="en-US" w:eastAsia="zh-CN"/>
        </w:rPr>
        <w:t>8</w:t>
      </w:r>
      <w:r>
        <w:rPr>
          <w:rStyle w:val="114"/>
          <w:rFonts w:hint="eastAsia" w:ascii="宋体" w:hAnsi="宋体" w:eastAsia="宋体" w:cs="宋体"/>
          <w:color w:val="auto"/>
          <w:kern w:val="2"/>
          <w:sz w:val="28"/>
          <w:szCs w:val="28"/>
          <w:lang w:val="zh-TW" w:eastAsia="zh-TW"/>
        </w:rPr>
        <w:t>年</w:t>
      </w:r>
      <w:r>
        <w:rPr>
          <w:rStyle w:val="114"/>
          <w:rFonts w:hint="eastAsia" w:ascii="宋体" w:hAnsi="宋体" w:eastAsia="宋体" w:cs="宋体"/>
          <w:color w:val="auto"/>
          <w:kern w:val="2"/>
          <w:sz w:val="28"/>
          <w:szCs w:val="28"/>
          <w:lang w:val="en-US" w:eastAsia="zh-CN"/>
        </w:rPr>
        <w:t>初</w:t>
      </w:r>
      <w:r>
        <w:rPr>
          <w:rStyle w:val="114"/>
          <w:rFonts w:hint="eastAsia" w:ascii="宋体" w:hAnsi="宋体" w:eastAsia="宋体" w:cs="宋体"/>
          <w:color w:val="auto"/>
          <w:kern w:val="2"/>
          <w:sz w:val="28"/>
          <w:szCs w:val="28"/>
          <w:lang w:val="zh-TW" w:eastAsia="zh-TW"/>
        </w:rPr>
        <w:t>委托云南上立矿业有限公司编制了《初步设计》报告，</w:t>
      </w:r>
      <w:r>
        <w:rPr>
          <w:rStyle w:val="114"/>
          <w:rFonts w:hint="eastAsia" w:ascii="宋体" w:hAnsi="宋体" w:eastAsia="宋体" w:cs="宋体"/>
          <w:color w:val="auto"/>
          <w:kern w:val="2"/>
          <w:sz w:val="28"/>
          <w:szCs w:val="28"/>
          <w:lang w:val="en-US" w:eastAsia="zh-CN"/>
        </w:rPr>
        <w:t>同年底</w:t>
      </w:r>
      <w:r>
        <w:rPr>
          <w:rStyle w:val="114"/>
          <w:rFonts w:hint="eastAsia" w:ascii="宋体" w:hAnsi="宋体" w:eastAsia="宋体" w:cs="宋体"/>
          <w:color w:val="auto"/>
          <w:kern w:val="2"/>
          <w:sz w:val="28"/>
          <w:szCs w:val="28"/>
          <w:lang w:val="zh-TW" w:eastAsia="zh-TW"/>
        </w:rPr>
        <w:t>委托云南上立矿业有限公司编制了《</w:t>
      </w:r>
      <w:r>
        <w:rPr>
          <w:rStyle w:val="114"/>
          <w:rFonts w:hint="eastAsia" w:ascii="宋体" w:hAnsi="宋体" w:eastAsia="宋体" w:cs="宋体"/>
          <w:color w:val="auto"/>
          <w:kern w:val="2"/>
          <w:sz w:val="28"/>
          <w:szCs w:val="28"/>
          <w:lang w:val="en-US" w:eastAsia="zh-CN"/>
        </w:rPr>
        <w:t>安全设施</w:t>
      </w:r>
      <w:r>
        <w:rPr>
          <w:rStyle w:val="114"/>
          <w:rFonts w:hint="eastAsia" w:ascii="宋体" w:hAnsi="宋体" w:eastAsia="宋体" w:cs="宋体"/>
          <w:color w:val="auto"/>
          <w:kern w:val="2"/>
          <w:sz w:val="28"/>
          <w:szCs w:val="28"/>
          <w:lang w:val="zh-TW" w:eastAsia="zh-TW"/>
        </w:rPr>
        <w:t>设计》报告</w:t>
      </w:r>
      <w:r>
        <w:rPr>
          <w:rStyle w:val="114"/>
          <w:rFonts w:hint="eastAsia" w:cs="宋体"/>
          <w:color w:val="auto"/>
          <w:kern w:val="2"/>
          <w:sz w:val="28"/>
          <w:szCs w:val="28"/>
          <w:lang w:val="zh-TW" w:eastAsia="zh-CN"/>
        </w:rPr>
        <w:t>，</w:t>
      </w:r>
      <w:r>
        <w:rPr>
          <w:rStyle w:val="114"/>
          <w:rFonts w:hint="eastAsia" w:ascii="宋体" w:hAnsi="宋体" w:eastAsia="宋体" w:cs="宋体"/>
          <w:color w:val="auto"/>
          <w:kern w:val="2"/>
          <w:sz w:val="28"/>
          <w:szCs w:val="28"/>
          <w:lang w:val="zh-TW" w:eastAsia="zh-TW"/>
        </w:rPr>
        <w:t>该报告已通过评审完成竣工验收并取得安全生产许可证。</w:t>
      </w:r>
      <w:r>
        <w:rPr>
          <w:rStyle w:val="114"/>
          <w:rFonts w:hint="eastAsia" w:ascii="宋体" w:hAnsi="宋体" w:eastAsia="宋体" w:cs="宋体"/>
          <w:color w:val="auto"/>
          <w:kern w:val="2"/>
          <w:sz w:val="28"/>
          <w:szCs w:val="28"/>
          <w:lang w:val="en-US" w:eastAsia="zh-CN"/>
        </w:rPr>
        <w:t>2020年11月11日对安全生产许可证进行了延期，目前，</w:t>
      </w:r>
      <w:r>
        <w:rPr>
          <w:rStyle w:val="114"/>
          <w:rFonts w:hint="eastAsia" w:ascii="宋体" w:hAnsi="宋体" w:eastAsia="宋体" w:cs="宋体"/>
          <w:color w:val="auto"/>
          <w:kern w:val="2"/>
          <w:sz w:val="28"/>
          <w:szCs w:val="28"/>
          <w:highlight w:val="none"/>
          <w:lang w:val="en-US" w:eastAsia="zh-CN"/>
        </w:rPr>
        <w:t>安全生产许可证于2023年11月10日过期，</w:t>
      </w:r>
      <w:r>
        <w:rPr>
          <w:rStyle w:val="114"/>
          <w:rFonts w:hint="eastAsia" w:ascii="宋体" w:hAnsi="宋体" w:eastAsia="宋体" w:cs="宋体"/>
          <w:color w:val="auto"/>
          <w:kern w:val="2"/>
          <w:sz w:val="28"/>
          <w:szCs w:val="28"/>
          <w:lang w:val="zh-TW" w:eastAsia="zh-TW"/>
        </w:rPr>
        <w:t>为延续安全生产许可证，特委托昭通市鼎安科技有限公司编制《</w:t>
      </w:r>
      <w:r>
        <w:rPr>
          <w:rStyle w:val="114"/>
          <w:rFonts w:hint="eastAsia" w:ascii="宋体" w:hAnsi="宋体" w:eastAsia="宋体" w:cs="宋体"/>
          <w:color w:val="auto"/>
          <w:kern w:val="2"/>
          <w:sz w:val="28"/>
          <w:szCs w:val="28"/>
          <w:lang w:val="zh-TW" w:eastAsia="zh-CN"/>
        </w:rPr>
        <w:t>安全现状评价报告</w:t>
      </w:r>
      <w:r>
        <w:rPr>
          <w:rStyle w:val="114"/>
          <w:rFonts w:hint="eastAsia" w:ascii="宋体" w:hAnsi="宋体" w:eastAsia="宋体" w:cs="宋体"/>
          <w:color w:val="auto"/>
          <w:kern w:val="2"/>
          <w:sz w:val="28"/>
          <w:szCs w:val="28"/>
          <w:lang w:val="zh-TW" w:eastAsia="zh-TW"/>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Style w:val="114"/>
          <w:rFonts w:hint="eastAsia" w:ascii="宋体" w:hAnsi="宋体" w:eastAsia="宋体" w:cs="宋体"/>
          <w:color w:val="auto"/>
          <w:sz w:val="28"/>
          <w:szCs w:val="28"/>
          <w:lang w:val="zh-TW" w:eastAsia="zh-TW"/>
        </w:rPr>
      </w:pPr>
      <w:r>
        <w:rPr>
          <w:rStyle w:val="114"/>
          <w:rFonts w:hint="eastAsia" w:ascii="宋体" w:hAnsi="宋体" w:eastAsia="宋体" w:cs="宋体"/>
          <w:color w:val="auto"/>
          <w:sz w:val="28"/>
          <w:szCs w:val="28"/>
          <w:lang w:val="zh-TW" w:eastAsia="zh-TW"/>
        </w:rPr>
        <w:t>牟定共和西山寺砂场采矿权人为牟定共和西山寺砂场，矿区位于牟定县北约335°方向，直线距离约5km处，行政区划属牟定县共和镇小仓村委会管辖。地理坐标：东经101°28′19″～101°28′27″，北纬25°20′41″～25°20′48″。2023年11月16日采矿权人延续了采矿许可证，生产规模2.42万m³/a，开采方式为露天开采，开采矿种为建筑砂岩</w:t>
      </w:r>
      <w:r>
        <w:rPr>
          <w:rStyle w:val="114"/>
          <w:rFonts w:hint="eastAsia" w:ascii="宋体" w:hAnsi="宋体" w:cs="宋体"/>
          <w:color w:val="auto"/>
          <w:sz w:val="28"/>
          <w:szCs w:val="28"/>
          <w:lang w:val="zh-TW" w:eastAsia="zh-CN"/>
        </w:rPr>
        <w:t>（</w:t>
      </w:r>
      <w:r>
        <w:rPr>
          <w:rStyle w:val="114"/>
          <w:rFonts w:hint="eastAsia" w:ascii="宋体" w:hAnsi="宋体" w:cs="宋体"/>
          <w:color w:val="auto"/>
          <w:sz w:val="28"/>
          <w:szCs w:val="28"/>
          <w:lang w:val="en-US" w:eastAsia="zh-CN"/>
        </w:rPr>
        <w:t>与原采矿证一致</w:t>
      </w:r>
      <w:r>
        <w:rPr>
          <w:rStyle w:val="114"/>
          <w:rFonts w:hint="eastAsia" w:ascii="宋体" w:hAnsi="宋体" w:cs="宋体"/>
          <w:color w:val="auto"/>
          <w:sz w:val="28"/>
          <w:szCs w:val="28"/>
          <w:lang w:val="zh-TW" w:eastAsia="zh-CN"/>
        </w:rPr>
        <w:t>）</w:t>
      </w:r>
      <w:r>
        <w:rPr>
          <w:rStyle w:val="114"/>
          <w:rFonts w:hint="eastAsia" w:ascii="宋体" w:hAnsi="宋体" w:eastAsia="宋体" w:cs="宋体"/>
          <w:color w:val="auto"/>
          <w:sz w:val="28"/>
          <w:szCs w:val="28"/>
          <w:lang w:val="zh-TW" w:eastAsia="zh-TW"/>
        </w:rPr>
        <w:t>。在采矿许可证延续期间，原安全生产许可证有效期到期（有效期：自2020年11月11日至2023年11月10日）。2023年11月8</w:t>
      </w:r>
      <w:r>
        <w:rPr>
          <w:rStyle w:val="114"/>
          <w:rFonts w:hint="eastAsia" w:ascii="宋体" w:hAnsi="宋体" w:cs="宋体"/>
          <w:color w:val="auto"/>
          <w:sz w:val="28"/>
          <w:szCs w:val="28"/>
          <w:lang w:val="zh-TW" w:eastAsia="zh-CN"/>
        </w:rPr>
        <w:t>日</w:t>
      </w:r>
      <w:r>
        <w:rPr>
          <w:rStyle w:val="114"/>
          <w:rFonts w:hint="eastAsia" w:ascii="宋体" w:hAnsi="宋体" w:eastAsia="宋体" w:cs="宋体"/>
          <w:color w:val="auto"/>
          <w:sz w:val="28"/>
          <w:szCs w:val="28"/>
          <w:lang w:val="zh-TW" w:eastAsia="zh-TW"/>
        </w:rPr>
        <w:t>，牟定县应急管理局对牟定共和西山寺砂场进行现场检查，发现矿山存在矿山采场局部位置台阶边坡超过、坡面角过大等安全生产隐患，下发了安全生产执法文书《责令限期整改指令书》（牟）应急责改【2023】非煤106号，但因矿山采矿到界以及安全生产许可证到期等原因无法及时完成整改，经企业方向牟定县应急管理局申请后，牟定县应急管理局同意矿山延期至2024年4月20日前完成整改，现矿山已基本整改完成。</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Style w:val="114"/>
          <w:rFonts w:hint="eastAsia" w:ascii="宋体" w:hAnsi="宋体" w:eastAsia="宋体" w:cs="宋体"/>
          <w:color w:val="auto"/>
          <w:sz w:val="28"/>
          <w:szCs w:val="28"/>
          <w:lang w:val="zh-TW" w:eastAsia="zh-TW"/>
        </w:rPr>
      </w:pPr>
      <w:r>
        <w:rPr>
          <w:rStyle w:val="114"/>
          <w:rFonts w:hint="eastAsia" w:ascii="宋体" w:hAnsi="宋体" w:eastAsia="宋体" w:cs="宋体"/>
          <w:color w:val="auto"/>
          <w:sz w:val="28"/>
          <w:szCs w:val="28"/>
          <w:lang w:val="zh-TW" w:eastAsia="zh-TW"/>
        </w:rPr>
        <w:t>根据国家安全生产法律、法规和部门安全生产相关规定，</w:t>
      </w:r>
      <w:r>
        <w:rPr>
          <w:rStyle w:val="114"/>
          <w:rFonts w:hint="eastAsia" w:ascii="宋体" w:hAnsi="宋体" w:cs="宋体"/>
          <w:color w:val="auto"/>
          <w:sz w:val="28"/>
          <w:szCs w:val="28"/>
          <w:lang w:eastAsia="zh-CN"/>
        </w:rPr>
        <w:t>牟定共和西山寺砂场</w:t>
      </w:r>
      <w:r>
        <w:rPr>
          <w:rStyle w:val="114"/>
          <w:rFonts w:hint="eastAsia" w:ascii="宋体" w:hAnsi="宋体" w:eastAsia="宋体" w:cs="宋体"/>
          <w:color w:val="auto"/>
          <w:sz w:val="28"/>
          <w:szCs w:val="28"/>
          <w:lang w:val="zh-TW" w:eastAsia="zh-TW"/>
        </w:rPr>
        <w:t>于</w:t>
      </w:r>
      <w:r>
        <w:rPr>
          <w:rStyle w:val="114"/>
          <w:rFonts w:hint="eastAsia" w:ascii="宋体" w:hAnsi="宋体" w:eastAsia="宋体" w:cs="宋体"/>
          <w:color w:val="auto"/>
          <w:sz w:val="28"/>
          <w:szCs w:val="28"/>
        </w:rPr>
        <w:t>202</w:t>
      </w:r>
      <w:r>
        <w:rPr>
          <w:rStyle w:val="114"/>
          <w:rFonts w:hint="eastAsia" w:ascii="宋体" w:hAnsi="宋体" w:eastAsia="宋体" w:cs="宋体"/>
          <w:color w:val="auto"/>
          <w:sz w:val="28"/>
          <w:szCs w:val="28"/>
          <w:lang w:val="en-US" w:eastAsia="zh-CN"/>
        </w:rPr>
        <w:t>4</w:t>
      </w:r>
      <w:r>
        <w:rPr>
          <w:rStyle w:val="114"/>
          <w:rFonts w:hint="eastAsia" w:ascii="宋体" w:hAnsi="宋体" w:eastAsia="宋体" w:cs="宋体"/>
          <w:color w:val="auto"/>
          <w:sz w:val="28"/>
          <w:szCs w:val="28"/>
          <w:lang w:val="zh-TW" w:eastAsia="zh-TW"/>
        </w:rPr>
        <w:t>年</w:t>
      </w:r>
      <w:r>
        <w:rPr>
          <w:rStyle w:val="114"/>
          <w:rFonts w:hint="eastAsia" w:ascii="宋体" w:hAnsi="宋体" w:cs="宋体"/>
          <w:color w:val="auto"/>
          <w:sz w:val="28"/>
          <w:szCs w:val="28"/>
          <w:lang w:val="en-US" w:eastAsia="zh-CN"/>
        </w:rPr>
        <w:t>6</w:t>
      </w:r>
      <w:r>
        <w:rPr>
          <w:rStyle w:val="114"/>
          <w:rFonts w:hint="eastAsia" w:ascii="宋体" w:hAnsi="宋体" w:eastAsia="宋体" w:cs="宋体"/>
          <w:color w:val="auto"/>
          <w:sz w:val="28"/>
          <w:szCs w:val="28"/>
          <w:lang w:val="zh-TW" w:eastAsia="zh-TW"/>
        </w:rPr>
        <w:t>月委托昭通市鼎安科技有限公司对该项目</w:t>
      </w:r>
      <w:r>
        <w:rPr>
          <w:rStyle w:val="114"/>
          <w:rFonts w:hint="eastAsia" w:ascii="宋体" w:hAnsi="宋体" w:eastAsia="宋体" w:cs="宋体"/>
          <w:color w:val="auto"/>
          <w:sz w:val="28"/>
          <w:szCs w:val="28"/>
          <w:lang w:val="en-US" w:eastAsia="zh-CN"/>
        </w:rPr>
        <w:t>的</w:t>
      </w:r>
      <w:r>
        <w:rPr>
          <w:rStyle w:val="114"/>
          <w:rFonts w:hint="eastAsia" w:ascii="宋体" w:hAnsi="宋体" w:eastAsia="宋体" w:cs="宋体"/>
          <w:color w:val="auto"/>
          <w:sz w:val="28"/>
          <w:szCs w:val="28"/>
          <w:lang w:val="zh-TW" w:eastAsia="zh-TW"/>
        </w:rPr>
        <w:t>采矿</w:t>
      </w:r>
      <w:r>
        <w:rPr>
          <w:rStyle w:val="114"/>
          <w:rFonts w:hint="eastAsia" w:ascii="宋体" w:hAnsi="宋体" w:eastAsia="宋体" w:cs="宋体"/>
          <w:color w:val="auto"/>
          <w:sz w:val="28"/>
          <w:szCs w:val="28"/>
        </w:rPr>
        <w:t>工艺</w:t>
      </w:r>
      <w:r>
        <w:rPr>
          <w:rStyle w:val="114"/>
          <w:rFonts w:hint="eastAsia" w:ascii="宋体" w:hAnsi="宋体" w:eastAsia="宋体" w:cs="宋体"/>
          <w:color w:val="auto"/>
          <w:sz w:val="28"/>
          <w:szCs w:val="28"/>
          <w:lang w:val="zh-TW" w:eastAsia="zh-TW"/>
        </w:rPr>
        <w:t>、总平面布置、公铺工程、安全设备设施、综合安全管理和周边环境进行安全</w:t>
      </w:r>
      <w:r>
        <w:rPr>
          <w:rStyle w:val="114"/>
          <w:rFonts w:hint="eastAsia" w:ascii="宋体" w:hAnsi="宋体" w:eastAsia="宋体" w:cs="宋体"/>
          <w:color w:val="auto"/>
          <w:sz w:val="28"/>
          <w:szCs w:val="28"/>
        </w:rPr>
        <w:t>现状</w:t>
      </w:r>
      <w:r>
        <w:rPr>
          <w:rStyle w:val="114"/>
          <w:rFonts w:hint="eastAsia" w:ascii="宋体" w:hAnsi="宋体" w:eastAsia="宋体" w:cs="宋体"/>
          <w:color w:val="auto"/>
          <w:sz w:val="28"/>
          <w:szCs w:val="28"/>
          <w:lang w:val="zh-TW" w:eastAsia="zh-TW"/>
        </w:rPr>
        <w:t>评价工作。</w:t>
      </w:r>
    </w:p>
    <w:p>
      <w:pPr>
        <w:pStyle w:val="116"/>
        <w:keepNext w:val="0"/>
        <w:keepLines w:val="0"/>
        <w:pageBreakBefore w:val="0"/>
        <w:widowControl w:val="0"/>
        <w:shd w:val="clear" w:color="auto" w:fill="FFFFFF"/>
        <w:tabs>
          <w:tab w:val="left" w:pos="2062"/>
        </w:tabs>
        <w:kinsoku/>
        <w:wordWrap/>
        <w:overflowPunct/>
        <w:topLinePunct w:val="0"/>
        <w:autoSpaceDE/>
        <w:autoSpaceDN/>
        <w:bidi w:val="0"/>
        <w:adjustRightInd/>
        <w:snapToGrid/>
        <w:spacing w:line="500" w:lineRule="exact"/>
        <w:ind w:firstLine="560" w:firstLineChars="200"/>
        <w:jc w:val="both"/>
        <w:textAlignment w:val="auto"/>
        <w:rPr>
          <w:rStyle w:val="114"/>
          <w:rFonts w:hint="eastAsia" w:ascii="宋体" w:hAnsi="宋体" w:eastAsia="宋体" w:cs="宋体"/>
          <w:color w:val="auto"/>
          <w:sz w:val="28"/>
          <w:szCs w:val="28"/>
          <w:lang w:val="zh-TW" w:eastAsia="zh-TW"/>
        </w:rPr>
      </w:pPr>
      <w:r>
        <w:rPr>
          <w:rStyle w:val="114"/>
          <w:rFonts w:hint="eastAsia" w:ascii="宋体" w:hAnsi="宋体" w:eastAsia="宋体" w:cs="宋体"/>
          <w:color w:val="auto"/>
          <w:sz w:val="28"/>
          <w:szCs w:val="28"/>
          <w:lang w:val="zh-TW" w:eastAsia="zh-TW"/>
        </w:rPr>
        <w:t>在接受</w:t>
      </w:r>
      <w:r>
        <w:rPr>
          <w:rStyle w:val="114"/>
          <w:rFonts w:hint="eastAsia" w:ascii="宋体" w:hAnsi="宋体" w:eastAsia="宋体" w:cs="宋体"/>
          <w:color w:val="auto"/>
          <w:sz w:val="28"/>
          <w:szCs w:val="28"/>
          <w:lang w:eastAsia="zh-CN"/>
        </w:rPr>
        <w:t>牟定共和西山寺砂场</w:t>
      </w:r>
      <w:r>
        <w:rPr>
          <w:rStyle w:val="114"/>
          <w:rFonts w:hint="eastAsia" w:ascii="宋体" w:hAnsi="宋体" w:eastAsia="宋体" w:cs="宋体"/>
          <w:color w:val="auto"/>
          <w:sz w:val="28"/>
          <w:szCs w:val="28"/>
          <w:lang w:val="zh-TW" w:eastAsia="zh-TW"/>
        </w:rPr>
        <w:t>矿山项目安全</w:t>
      </w:r>
      <w:r>
        <w:rPr>
          <w:rStyle w:val="114"/>
          <w:rFonts w:hint="eastAsia" w:ascii="宋体" w:hAnsi="宋体" w:eastAsia="宋体" w:cs="宋体"/>
          <w:color w:val="auto"/>
          <w:sz w:val="28"/>
          <w:szCs w:val="28"/>
        </w:rPr>
        <w:t>现状</w:t>
      </w:r>
      <w:r>
        <w:rPr>
          <w:rStyle w:val="114"/>
          <w:rFonts w:hint="eastAsia" w:ascii="宋体" w:hAnsi="宋体" w:eastAsia="宋体" w:cs="宋体"/>
          <w:color w:val="auto"/>
          <w:sz w:val="28"/>
          <w:szCs w:val="28"/>
          <w:lang w:val="zh-TW" w:eastAsia="zh-TW"/>
        </w:rPr>
        <w:t>评价委托后，昭通市鼎安科技有限公司遵照相关规定和公司作业指导书，组建了安全评价组。在认真分析项目风险，收集国家法律法规、部门规章、地方性法规及规范性文件、国家标准、行业标准、规程、规范，建设项目单位提供的相关资料基础上，于</w:t>
      </w:r>
      <w:r>
        <w:rPr>
          <w:rStyle w:val="114"/>
          <w:rFonts w:hint="eastAsia" w:ascii="宋体" w:hAnsi="宋体" w:eastAsia="宋体" w:cs="宋体"/>
          <w:color w:val="auto"/>
          <w:sz w:val="28"/>
          <w:szCs w:val="28"/>
        </w:rPr>
        <w:t>202</w:t>
      </w:r>
      <w:r>
        <w:rPr>
          <w:rStyle w:val="114"/>
          <w:rFonts w:hint="eastAsia" w:ascii="宋体" w:hAnsi="宋体" w:eastAsia="宋体" w:cs="宋体"/>
          <w:color w:val="auto"/>
          <w:sz w:val="28"/>
          <w:szCs w:val="28"/>
          <w:lang w:val="en-US" w:eastAsia="zh-CN"/>
        </w:rPr>
        <w:t>4</w:t>
      </w:r>
      <w:r>
        <w:rPr>
          <w:rStyle w:val="114"/>
          <w:rFonts w:hint="eastAsia" w:ascii="宋体" w:hAnsi="宋体" w:eastAsia="宋体" w:cs="宋体"/>
          <w:color w:val="auto"/>
          <w:sz w:val="28"/>
          <w:szCs w:val="28"/>
          <w:lang w:val="zh-TW" w:eastAsia="zh-TW"/>
        </w:rPr>
        <w:t>年</w:t>
      </w:r>
      <w:r>
        <w:rPr>
          <w:rStyle w:val="114"/>
          <w:rFonts w:hint="eastAsia" w:ascii="宋体" w:hAnsi="宋体" w:eastAsia="宋体" w:cs="宋体"/>
          <w:color w:val="auto"/>
          <w:sz w:val="28"/>
          <w:szCs w:val="28"/>
          <w:lang w:val="en-US" w:eastAsia="zh-CN"/>
        </w:rPr>
        <w:t>6</w:t>
      </w:r>
      <w:r>
        <w:rPr>
          <w:rStyle w:val="114"/>
          <w:rFonts w:hint="eastAsia" w:ascii="宋体" w:hAnsi="宋体" w:eastAsia="宋体" w:cs="宋体"/>
          <w:color w:val="auto"/>
          <w:sz w:val="28"/>
          <w:szCs w:val="28"/>
          <w:lang w:val="zh-TW" w:eastAsia="zh-TW"/>
        </w:rPr>
        <w:t>月</w:t>
      </w:r>
      <w:r>
        <w:rPr>
          <w:rStyle w:val="114"/>
          <w:rFonts w:hint="eastAsia" w:ascii="宋体" w:hAnsi="宋体" w:eastAsia="宋体" w:cs="宋体"/>
          <w:color w:val="auto"/>
          <w:sz w:val="28"/>
          <w:szCs w:val="28"/>
          <w:lang w:val="en-US" w:eastAsia="zh-CN"/>
        </w:rPr>
        <w:t>1</w:t>
      </w:r>
      <w:r>
        <w:rPr>
          <w:rStyle w:val="114"/>
          <w:rFonts w:hint="eastAsia" w:cs="宋体"/>
          <w:color w:val="auto"/>
          <w:sz w:val="28"/>
          <w:szCs w:val="28"/>
          <w:lang w:val="en-US" w:eastAsia="zh-CN"/>
        </w:rPr>
        <w:t>4</w:t>
      </w:r>
      <w:r>
        <w:rPr>
          <w:rStyle w:val="114"/>
          <w:rFonts w:ascii="宋体" w:hAnsi="宋体" w:eastAsia="宋体" w:cs="Times New Roman"/>
          <w:color w:val="auto"/>
          <w:sz w:val="28"/>
          <w:szCs w:val="28"/>
          <w:lang w:val="zh-TW" w:eastAsia="zh-TW"/>
        </w:rPr>
        <w:t>日</w:t>
      </w:r>
      <w:r>
        <w:rPr>
          <w:rStyle w:val="114"/>
          <w:rFonts w:hint="eastAsia" w:ascii="宋体" w:hAnsi="宋体" w:eastAsia="宋体" w:cs="宋体"/>
          <w:color w:val="auto"/>
          <w:sz w:val="28"/>
          <w:szCs w:val="28"/>
          <w:lang w:val="zh-TW" w:eastAsia="zh-TW"/>
        </w:rPr>
        <w:t>到现场实地勘测调查，</w:t>
      </w:r>
      <w:r>
        <w:rPr>
          <w:rStyle w:val="114"/>
          <w:rFonts w:hint="eastAsia" w:ascii="宋体" w:hAnsi="宋体" w:eastAsia="宋体" w:cs="宋体"/>
          <w:color w:val="auto"/>
          <w:sz w:val="28"/>
          <w:szCs w:val="28"/>
          <w:lang w:val="en-US" w:eastAsia="zh-CN"/>
        </w:rPr>
        <w:t>对现场存在的隐患问题提出了整改意见，</w:t>
      </w:r>
      <w:r>
        <w:rPr>
          <w:rStyle w:val="114"/>
          <w:rFonts w:hint="eastAsia" w:ascii="宋体" w:hAnsi="宋体" w:eastAsia="宋体" w:cs="宋体"/>
          <w:color w:val="auto"/>
          <w:sz w:val="28"/>
          <w:szCs w:val="28"/>
          <w:lang w:val="zh-TW" w:eastAsia="zh-TW"/>
        </w:rPr>
        <w:t>经对现场收集的调查资料分析整理，对项目存在或潜在危险、有害因素辨识分析和定性、定量评价，按照评价导则要求，于</w:t>
      </w:r>
      <w:r>
        <w:rPr>
          <w:rStyle w:val="114"/>
          <w:rFonts w:hint="eastAsia" w:ascii="宋体" w:hAnsi="宋体" w:eastAsia="宋体" w:cs="宋体"/>
          <w:color w:val="auto"/>
          <w:sz w:val="28"/>
          <w:szCs w:val="28"/>
        </w:rPr>
        <w:t>202</w:t>
      </w:r>
      <w:r>
        <w:rPr>
          <w:rStyle w:val="114"/>
          <w:rFonts w:hint="eastAsia" w:ascii="宋体" w:hAnsi="宋体" w:eastAsia="宋体" w:cs="宋体"/>
          <w:color w:val="auto"/>
          <w:sz w:val="28"/>
          <w:szCs w:val="28"/>
          <w:lang w:val="en-US" w:eastAsia="zh-CN"/>
        </w:rPr>
        <w:t>4</w:t>
      </w:r>
      <w:r>
        <w:rPr>
          <w:rStyle w:val="114"/>
          <w:rFonts w:hint="eastAsia" w:ascii="宋体" w:hAnsi="宋体" w:eastAsia="宋体" w:cs="宋体"/>
          <w:color w:val="auto"/>
          <w:sz w:val="28"/>
          <w:szCs w:val="28"/>
          <w:lang w:val="zh-TW" w:eastAsia="zh-TW"/>
        </w:rPr>
        <w:t>年</w:t>
      </w:r>
      <w:r>
        <w:rPr>
          <w:rStyle w:val="114"/>
          <w:rFonts w:hint="eastAsia" w:cs="宋体"/>
          <w:color w:val="auto"/>
          <w:sz w:val="28"/>
          <w:szCs w:val="28"/>
          <w:lang w:val="en-US" w:eastAsia="zh-CN"/>
        </w:rPr>
        <w:t>7</w:t>
      </w:r>
      <w:r>
        <w:rPr>
          <w:rStyle w:val="114"/>
          <w:rFonts w:hint="eastAsia" w:ascii="宋体" w:hAnsi="宋体" w:eastAsia="宋体" w:cs="宋体"/>
          <w:color w:val="auto"/>
          <w:sz w:val="28"/>
          <w:szCs w:val="28"/>
          <w:lang w:val="zh-TW" w:eastAsia="zh-TW"/>
        </w:rPr>
        <w:t>月</w:t>
      </w:r>
      <w:r>
        <w:rPr>
          <w:rStyle w:val="114"/>
          <w:rFonts w:hint="eastAsia" w:cs="宋体"/>
          <w:color w:val="auto"/>
          <w:sz w:val="28"/>
          <w:szCs w:val="28"/>
          <w:lang w:val="en-US" w:eastAsia="zh-CN"/>
        </w:rPr>
        <w:t>10</w:t>
      </w:r>
      <w:r>
        <w:rPr>
          <w:rStyle w:val="114"/>
          <w:rFonts w:hint="eastAsia" w:ascii="宋体" w:hAnsi="宋体" w:eastAsia="宋体" w:cs="宋体"/>
          <w:color w:val="auto"/>
          <w:sz w:val="28"/>
          <w:szCs w:val="28"/>
          <w:lang w:val="en-US" w:eastAsia="zh-CN"/>
        </w:rPr>
        <w:t>日到现场实地对提出的隐患整改情况进行复核，于2024年7月</w:t>
      </w:r>
      <w:r>
        <w:rPr>
          <w:rStyle w:val="114"/>
          <w:rFonts w:hint="eastAsia" w:cs="宋体"/>
          <w:color w:val="auto"/>
          <w:sz w:val="28"/>
          <w:szCs w:val="28"/>
          <w:lang w:val="en-US" w:eastAsia="zh-CN"/>
        </w:rPr>
        <w:t>18</w:t>
      </w:r>
      <w:r>
        <w:rPr>
          <w:rStyle w:val="114"/>
          <w:rFonts w:hint="eastAsia" w:ascii="宋体" w:hAnsi="宋体" w:eastAsia="宋体" w:cs="宋体"/>
          <w:color w:val="auto"/>
          <w:sz w:val="28"/>
          <w:szCs w:val="28"/>
          <w:lang w:val="en-US" w:eastAsia="zh-CN"/>
        </w:rPr>
        <w:t>日</w:t>
      </w:r>
      <w:r>
        <w:rPr>
          <w:rStyle w:val="114"/>
          <w:rFonts w:hint="eastAsia" w:ascii="宋体" w:hAnsi="宋体" w:eastAsia="宋体" w:cs="宋体"/>
          <w:color w:val="auto"/>
          <w:sz w:val="28"/>
          <w:szCs w:val="28"/>
          <w:lang w:val="zh-TW" w:eastAsia="zh-TW"/>
        </w:rPr>
        <w:t>完成了安全</w:t>
      </w:r>
      <w:r>
        <w:rPr>
          <w:rStyle w:val="114"/>
          <w:rFonts w:hint="eastAsia" w:ascii="宋体" w:hAnsi="宋体" w:eastAsia="宋体" w:cs="宋体"/>
          <w:color w:val="auto"/>
          <w:sz w:val="28"/>
          <w:szCs w:val="28"/>
        </w:rPr>
        <w:t>现状</w:t>
      </w:r>
      <w:r>
        <w:rPr>
          <w:rStyle w:val="114"/>
          <w:rFonts w:hint="eastAsia" w:ascii="宋体" w:hAnsi="宋体" w:eastAsia="宋体" w:cs="宋体"/>
          <w:color w:val="auto"/>
          <w:sz w:val="28"/>
          <w:szCs w:val="28"/>
          <w:lang w:val="zh-TW" w:eastAsia="zh-TW"/>
        </w:rPr>
        <w:t>评价报告的编制。最终形成的安全</w:t>
      </w:r>
      <w:r>
        <w:rPr>
          <w:rStyle w:val="114"/>
          <w:rFonts w:hint="eastAsia" w:ascii="宋体" w:hAnsi="宋体" w:eastAsia="宋体" w:cs="宋体"/>
          <w:color w:val="auto"/>
          <w:sz w:val="28"/>
          <w:szCs w:val="28"/>
        </w:rPr>
        <w:t>现状</w:t>
      </w:r>
      <w:r>
        <w:rPr>
          <w:rStyle w:val="114"/>
          <w:rFonts w:hint="eastAsia" w:ascii="宋体" w:hAnsi="宋体" w:eastAsia="宋体" w:cs="宋体"/>
          <w:color w:val="auto"/>
          <w:sz w:val="28"/>
          <w:szCs w:val="28"/>
          <w:lang w:val="zh-TW" w:eastAsia="zh-TW"/>
        </w:rPr>
        <w:t>评价报告将作为项目</w:t>
      </w:r>
      <w:r>
        <w:rPr>
          <w:rStyle w:val="114"/>
          <w:rFonts w:hint="eastAsia" w:ascii="宋体" w:hAnsi="宋体" w:eastAsia="宋体" w:cs="宋体"/>
          <w:color w:val="auto"/>
          <w:sz w:val="28"/>
          <w:szCs w:val="28"/>
        </w:rPr>
        <w:t>安全生产</w:t>
      </w:r>
      <w:r>
        <w:rPr>
          <w:rStyle w:val="114"/>
          <w:rFonts w:hint="eastAsia" w:ascii="宋体" w:hAnsi="宋体" w:eastAsia="宋体" w:cs="宋体"/>
          <w:color w:val="auto"/>
          <w:sz w:val="28"/>
          <w:szCs w:val="28"/>
          <w:lang w:val="zh-TW" w:eastAsia="zh-TW"/>
        </w:rPr>
        <w:t>的技术依据。</w:t>
      </w:r>
    </w:p>
    <w:p>
      <w:pPr>
        <w:pStyle w:val="116"/>
        <w:keepNext w:val="0"/>
        <w:keepLines w:val="0"/>
        <w:pageBreakBefore w:val="0"/>
        <w:widowControl w:val="0"/>
        <w:shd w:val="clear" w:color="auto" w:fill="FFFFFF"/>
        <w:tabs>
          <w:tab w:val="left" w:pos="2062"/>
        </w:tabs>
        <w:kinsoku/>
        <w:wordWrap/>
        <w:overflowPunct/>
        <w:topLinePunct w:val="0"/>
        <w:autoSpaceDE/>
        <w:autoSpaceDN/>
        <w:bidi w:val="0"/>
        <w:adjustRightInd/>
        <w:snapToGrid/>
        <w:spacing w:line="500" w:lineRule="exact"/>
        <w:ind w:firstLine="560" w:firstLineChars="200"/>
        <w:jc w:val="both"/>
        <w:textAlignment w:val="auto"/>
        <w:rPr>
          <w:rStyle w:val="114"/>
          <w:rFonts w:hint="eastAsia" w:ascii="宋体" w:hAnsi="宋体" w:eastAsia="宋体" w:cs="宋体"/>
          <w:color w:val="auto"/>
          <w:sz w:val="28"/>
          <w:szCs w:val="28"/>
          <w:lang w:val="zh-TW" w:eastAsia="zh-CN"/>
        </w:rPr>
        <w:sectPr>
          <w:headerReference r:id="rId4" w:type="first"/>
          <w:headerReference r:id="rId3" w:type="default"/>
          <w:footerReference r:id="rId5" w:type="default"/>
          <w:pgSz w:w="11907" w:h="16840"/>
          <w:pgMar w:top="1417" w:right="1417" w:bottom="1417" w:left="1417" w:header="1191" w:footer="794" w:gutter="0"/>
          <w:pgNumType w:fmt="decimal" w:start="1"/>
          <w:cols w:space="720" w:num="1"/>
          <w:docGrid w:type="linesAndChars" w:linePitch="317" w:charSpace="0"/>
        </w:sectPr>
      </w:pPr>
      <w:r>
        <w:rPr>
          <w:rStyle w:val="114"/>
          <w:rFonts w:hint="eastAsia" w:ascii="宋体" w:hAnsi="宋体" w:eastAsia="宋体" w:cs="宋体"/>
          <w:color w:val="auto"/>
          <w:sz w:val="28"/>
          <w:szCs w:val="28"/>
          <w:lang w:val="zh-TW" w:eastAsia="zh-TW"/>
        </w:rPr>
        <w:t>在本项目的安全</w:t>
      </w:r>
      <w:r>
        <w:rPr>
          <w:rStyle w:val="114"/>
          <w:rFonts w:hint="eastAsia" w:ascii="宋体" w:hAnsi="宋体" w:eastAsia="宋体" w:cs="宋体"/>
          <w:color w:val="auto"/>
          <w:sz w:val="28"/>
          <w:szCs w:val="28"/>
        </w:rPr>
        <w:t>现状</w:t>
      </w:r>
      <w:r>
        <w:rPr>
          <w:rStyle w:val="114"/>
          <w:rFonts w:hint="eastAsia" w:ascii="宋体" w:hAnsi="宋体" w:eastAsia="宋体" w:cs="宋体"/>
          <w:color w:val="auto"/>
          <w:sz w:val="28"/>
          <w:szCs w:val="28"/>
          <w:lang w:val="zh-TW" w:eastAsia="zh-TW"/>
        </w:rPr>
        <w:t>评价工作中，得到了</w:t>
      </w:r>
      <w:r>
        <w:rPr>
          <w:rStyle w:val="114"/>
          <w:rFonts w:hint="eastAsia" w:ascii="宋体" w:hAnsi="宋体" w:eastAsia="宋体" w:cs="宋体"/>
          <w:color w:val="auto"/>
          <w:sz w:val="28"/>
          <w:szCs w:val="28"/>
        </w:rPr>
        <w:t>楚雄彝族自治州</w:t>
      </w:r>
      <w:r>
        <w:rPr>
          <w:rStyle w:val="114"/>
          <w:rFonts w:hint="eastAsia" w:ascii="宋体" w:hAnsi="宋体" w:eastAsia="宋体" w:cs="宋体"/>
          <w:color w:val="auto"/>
          <w:sz w:val="28"/>
          <w:szCs w:val="28"/>
          <w:lang w:val="zh-TW" w:eastAsia="zh-TW"/>
        </w:rPr>
        <w:t>应急管理局、</w:t>
      </w:r>
      <w:r>
        <w:rPr>
          <w:rStyle w:val="114"/>
          <w:rFonts w:hint="eastAsia" w:ascii="宋体" w:hAnsi="宋体" w:eastAsia="宋体" w:cs="宋体"/>
          <w:color w:val="auto"/>
          <w:sz w:val="28"/>
          <w:szCs w:val="28"/>
          <w:lang w:val="en-US" w:eastAsia="zh-CN"/>
        </w:rPr>
        <w:t>牟定</w:t>
      </w:r>
      <w:r>
        <w:rPr>
          <w:rStyle w:val="114"/>
          <w:rFonts w:hint="eastAsia" w:ascii="宋体" w:hAnsi="宋体" w:eastAsia="宋体" w:cs="宋体"/>
          <w:color w:val="auto"/>
          <w:sz w:val="28"/>
          <w:szCs w:val="28"/>
        </w:rPr>
        <w:t>县</w:t>
      </w:r>
      <w:r>
        <w:rPr>
          <w:rStyle w:val="114"/>
          <w:rFonts w:hint="eastAsia" w:ascii="宋体" w:hAnsi="宋体" w:eastAsia="宋体" w:cs="宋体"/>
          <w:color w:val="auto"/>
          <w:sz w:val="28"/>
          <w:szCs w:val="28"/>
          <w:lang w:val="zh-TW" w:eastAsia="zh-TW"/>
        </w:rPr>
        <w:t>应急管理局及</w:t>
      </w:r>
      <w:r>
        <w:rPr>
          <w:rStyle w:val="114"/>
          <w:rFonts w:hint="eastAsia" w:ascii="宋体" w:hAnsi="宋体" w:eastAsia="宋体" w:cs="宋体"/>
          <w:color w:val="auto"/>
          <w:sz w:val="28"/>
          <w:szCs w:val="28"/>
          <w:lang w:eastAsia="zh-CN"/>
        </w:rPr>
        <w:t>牟定共和西山寺砂场</w:t>
      </w:r>
      <w:r>
        <w:rPr>
          <w:rStyle w:val="114"/>
          <w:rFonts w:hint="eastAsia" w:ascii="宋体" w:hAnsi="宋体" w:eastAsia="宋体" w:cs="宋体"/>
          <w:color w:val="auto"/>
          <w:sz w:val="28"/>
          <w:szCs w:val="28"/>
          <w:lang w:val="zh-TW" w:eastAsia="zh-TW"/>
        </w:rPr>
        <w:t>有关人员的大力支持</w:t>
      </w:r>
      <w:r>
        <w:rPr>
          <w:rStyle w:val="114"/>
          <w:rFonts w:hint="eastAsia" w:ascii="宋体" w:hAnsi="宋体" w:eastAsia="宋体" w:cs="宋体"/>
          <w:color w:val="auto"/>
          <w:sz w:val="28"/>
          <w:szCs w:val="28"/>
          <w:lang w:val="zh-TW"/>
        </w:rPr>
        <w:t>，</w:t>
      </w:r>
      <w:r>
        <w:rPr>
          <w:rStyle w:val="114"/>
          <w:rFonts w:hint="eastAsia" w:ascii="宋体" w:hAnsi="宋体" w:eastAsia="宋体" w:cs="宋体"/>
          <w:color w:val="auto"/>
          <w:sz w:val="28"/>
          <w:szCs w:val="28"/>
          <w:lang w:val="zh-TW" w:eastAsia="zh-TW"/>
        </w:rPr>
        <w:t>同时在本报告</w:t>
      </w:r>
      <w:r>
        <w:rPr>
          <w:rStyle w:val="114"/>
          <w:rFonts w:hint="eastAsia" w:ascii="宋体" w:hAnsi="宋体" w:eastAsia="宋体" w:cs="宋体"/>
          <w:color w:val="auto"/>
          <w:sz w:val="28"/>
          <w:szCs w:val="28"/>
        </w:rPr>
        <w:t>中</w:t>
      </w:r>
      <w:r>
        <w:rPr>
          <w:rStyle w:val="114"/>
          <w:rFonts w:hint="eastAsia" w:ascii="宋体" w:hAnsi="宋体" w:eastAsia="宋体" w:cs="宋体"/>
          <w:color w:val="auto"/>
          <w:sz w:val="28"/>
          <w:szCs w:val="28"/>
          <w:lang w:val="zh-TW" w:eastAsia="zh-TW"/>
        </w:rPr>
        <w:t>引用了一些专家学者的研究成果和技术资料，在此一并表示感谢</w:t>
      </w:r>
      <w:r>
        <w:rPr>
          <w:rStyle w:val="114"/>
          <w:rFonts w:hint="eastAsia" w:ascii="宋体" w:hAnsi="宋体" w:eastAsia="宋体" w:cs="宋体"/>
          <w:color w:val="auto"/>
          <w:sz w:val="28"/>
          <w:szCs w:val="28"/>
          <w:lang w:val="zh-TW" w:eastAsia="zh-CN"/>
        </w:rPr>
        <w:t>！</w:t>
      </w:r>
    </w:p>
    <w:p>
      <w:pPr>
        <w:pStyle w:val="116"/>
        <w:keepNext w:val="0"/>
        <w:keepLines w:val="0"/>
        <w:pageBreakBefore w:val="0"/>
        <w:widowControl w:val="0"/>
        <w:shd w:val="clear" w:color="auto" w:fill="FFFFFF"/>
        <w:tabs>
          <w:tab w:val="left" w:pos="2062"/>
        </w:tabs>
        <w:kinsoku/>
        <w:wordWrap/>
        <w:overflowPunct/>
        <w:topLinePunct w:val="0"/>
        <w:autoSpaceDE/>
        <w:autoSpaceDN/>
        <w:bidi w:val="0"/>
        <w:adjustRightInd/>
        <w:snapToGrid/>
        <w:spacing w:after="120" w:line="500" w:lineRule="exact"/>
        <w:ind w:left="0" w:leftChars="0" w:firstLine="600" w:firstLineChars="200"/>
        <w:jc w:val="center"/>
        <w:textAlignment w:val="auto"/>
        <w:outlineLvl w:val="0"/>
        <w:rPr>
          <w:rFonts w:hint="eastAsia" w:ascii="宋体" w:hAnsi="宋体" w:eastAsia="宋体" w:cs="宋体"/>
          <w:bCs/>
          <w:i w:val="0"/>
          <w:iCs w:val="0"/>
          <w:caps/>
          <w:color w:val="auto"/>
          <w:kern w:val="0"/>
          <w:sz w:val="24"/>
          <w:szCs w:val="24"/>
          <w:lang w:val="en-US" w:eastAsia="zh-CN" w:bidi="ar-SA"/>
        </w:rPr>
      </w:pPr>
      <w:bookmarkStart w:id="34" w:name="_Toc31941"/>
      <w:bookmarkStart w:id="35" w:name="_Toc15857"/>
      <w:bookmarkStart w:id="36" w:name="_Toc3031"/>
      <w:r>
        <w:rPr>
          <w:rFonts w:hint="eastAsia" w:ascii="宋体" w:hAnsi="宋体" w:eastAsia="宋体" w:cs="宋体"/>
          <w:b/>
          <w:bCs w:val="0"/>
          <w:i w:val="0"/>
          <w:iCs w:val="0"/>
          <w:caps/>
          <w:color w:val="auto"/>
          <w:sz w:val="30"/>
          <w:szCs w:val="30"/>
        </w:rPr>
        <w:t>目</w:t>
      </w:r>
      <w:r>
        <w:rPr>
          <w:rFonts w:hint="eastAsia" w:ascii="宋体" w:hAnsi="宋体" w:cs="宋体"/>
          <w:b/>
          <w:bCs w:val="0"/>
          <w:i w:val="0"/>
          <w:iCs w:val="0"/>
          <w:caps/>
          <w:color w:val="auto"/>
          <w:sz w:val="30"/>
          <w:szCs w:val="30"/>
          <w:lang w:val="en-US" w:eastAsia="zh-CN"/>
        </w:rPr>
        <w:t xml:space="preserve"> </w:t>
      </w:r>
      <w:r>
        <w:rPr>
          <w:rFonts w:hint="eastAsia" w:ascii="宋体" w:hAnsi="宋体" w:eastAsia="宋体" w:cs="宋体"/>
          <w:b/>
          <w:bCs w:val="0"/>
          <w:i w:val="0"/>
          <w:iCs w:val="0"/>
          <w:caps/>
          <w:color w:val="auto"/>
          <w:sz w:val="30"/>
          <w:szCs w:val="30"/>
        </w:rPr>
        <w:t>录</w:t>
      </w:r>
      <w:bookmarkEnd w:id="25"/>
      <w:bookmarkEnd w:id="26"/>
      <w:bookmarkEnd w:id="27"/>
      <w:bookmarkEnd w:id="28"/>
      <w:bookmarkEnd w:id="29"/>
      <w:bookmarkEnd w:id="30"/>
      <w:bookmarkEnd w:id="31"/>
      <w:bookmarkEnd w:id="32"/>
      <w:bookmarkEnd w:id="33"/>
      <w:bookmarkEnd w:id="34"/>
      <w:bookmarkEnd w:id="35"/>
      <w:bookmarkEnd w:id="36"/>
      <w:r>
        <w:rPr>
          <w:rFonts w:hint="eastAsia" w:ascii="宋体" w:hAnsi="宋体" w:eastAsia="宋体" w:cs="宋体"/>
          <w:bCs/>
          <w:i w:val="0"/>
          <w:iCs w:val="0"/>
          <w:caps/>
          <w:color w:val="auto"/>
          <w:sz w:val="24"/>
          <w:szCs w:val="24"/>
        </w:rPr>
        <w:fldChar w:fldCharType="begin"/>
      </w:r>
      <w:r>
        <w:rPr>
          <w:rFonts w:hint="eastAsia" w:ascii="宋体" w:hAnsi="宋体" w:eastAsia="宋体" w:cs="宋体"/>
          <w:bCs/>
          <w:i w:val="0"/>
          <w:iCs w:val="0"/>
          <w:caps/>
          <w:color w:val="auto"/>
          <w:sz w:val="24"/>
          <w:szCs w:val="24"/>
        </w:rPr>
        <w:instrText xml:space="preserve"> TOC \o "1-3" \h \z \u </w:instrText>
      </w:r>
      <w:r>
        <w:rPr>
          <w:rFonts w:hint="eastAsia" w:ascii="宋体" w:hAnsi="宋体" w:eastAsia="宋体" w:cs="宋体"/>
          <w:bCs/>
          <w:i w:val="0"/>
          <w:iCs w:val="0"/>
          <w:caps/>
          <w:color w:val="auto"/>
          <w:sz w:val="24"/>
          <w:szCs w:val="24"/>
        </w:rPr>
        <w:fldChar w:fldCharType="separate"/>
      </w:r>
    </w:p>
    <w:p>
      <w:pPr>
        <w:pStyle w:val="25"/>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_Toc3031 </w:instrText>
      </w:r>
      <w:r>
        <w:rPr>
          <w:rFonts w:hint="eastAsia" w:ascii="宋体" w:hAnsi="宋体" w:eastAsia="宋体" w:cs="宋体"/>
          <w:bCs/>
          <w:i w:val="0"/>
          <w:iCs w:val="0"/>
          <w:caps/>
          <w:szCs w:val="24"/>
        </w:rPr>
        <w:fldChar w:fldCharType="separate"/>
      </w:r>
      <w:r>
        <w:rPr>
          <w:rFonts w:hint="eastAsia" w:ascii="宋体" w:hAnsi="宋体" w:eastAsia="宋体" w:cs="宋体"/>
          <w:bCs w:val="0"/>
          <w:i w:val="0"/>
          <w:iCs w:val="0"/>
          <w:caps/>
          <w:szCs w:val="30"/>
        </w:rPr>
        <w:t>目</w:t>
      </w:r>
      <w:r>
        <w:rPr>
          <w:rFonts w:hint="eastAsia" w:ascii="宋体" w:hAnsi="宋体" w:cs="宋体"/>
          <w:bCs w:val="0"/>
          <w:i w:val="0"/>
          <w:iCs w:val="0"/>
          <w:caps/>
          <w:szCs w:val="30"/>
          <w:lang w:val="en-US" w:eastAsia="zh-CN"/>
        </w:rPr>
        <w:t xml:space="preserve"> </w:t>
      </w:r>
      <w:r>
        <w:rPr>
          <w:rFonts w:hint="eastAsia" w:ascii="宋体" w:hAnsi="宋体" w:eastAsia="宋体" w:cs="宋体"/>
          <w:bCs w:val="0"/>
          <w:i w:val="0"/>
          <w:iCs w:val="0"/>
          <w:caps/>
          <w:szCs w:val="30"/>
        </w:rPr>
        <w:t>录</w:t>
      </w:r>
      <w:r>
        <w:tab/>
      </w:r>
      <w:r>
        <w:fldChar w:fldCharType="begin"/>
      </w:r>
      <w:r>
        <w:instrText xml:space="preserve"> PAGEREF _Toc3031 \h </w:instrText>
      </w:r>
      <w:r>
        <w:fldChar w:fldCharType="separate"/>
      </w:r>
      <w:r>
        <w:t>1</w:t>
      </w:r>
      <w:r>
        <w:fldChar w:fldCharType="end"/>
      </w:r>
      <w:r>
        <w:rPr>
          <w:rFonts w:hint="eastAsia" w:ascii="宋体" w:hAnsi="宋体" w:eastAsia="宋体" w:cs="宋体"/>
          <w:bCs/>
          <w:i w:val="0"/>
          <w:iCs w:val="0"/>
          <w:caps/>
          <w:color w:val="auto"/>
          <w:szCs w:val="24"/>
        </w:rPr>
        <w:fldChar w:fldCharType="end"/>
      </w:r>
    </w:p>
    <w:p>
      <w:pPr>
        <w:pStyle w:val="25"/>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_Toc9100 </w:instrText>
      </w:r>
      <w:r>
        <w:rPr>
          <w:rFonts w:hint="eastAsia" w:ascii="宋体" w:hAnsi="宋体" w:eastAsia="宋体" w:cs="宋体"/>
          <w:bCs/>
          <w:i w:val="0"/>
          <w:iCs w:val="0"/>
          <w:caps/>
          <w:szCs w:val="24"/>
        </w:rPr>
        <w:fldChar w:fldCharType="separate"/>
      </w:r>
      <w:r>
        <w:rPr>
          <w:rFonts w:hint="eastAsia"/>
          <w:lang w:val="en-US" w:eastAsia="zh-CN"/>
        </w:rPr>
        <w:t>第1章  评价范围与依据</w:t>
      </w:r>
      <w:r>
        <w:tab/>
      </w:r>
      <w:r>
        <w:fldChar w:fldCharType="begin"/>
      </w:r>
      <w:r>
        <w:instrText xml:space="preserve"> PAGEREF _Toc9100 \h </w:instrText>
      </w:r>
      <w:r>
        <w:fldChar w:fldCharType="separate"/>
      </w:r>
      <w:r>
        <w:t>1</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_Toc2573 </w:instrText>
      </w:r>
      <w:r>
        <w:rPr>
          <w:rFonts w:hint="eastAsia" w:ascii="宋体" w:hAnsi="宋体" w:eastAsia="宋体" w:cs="宋体"/>
          <w:bCs/>
          <w:i w:val="0"/>
          <w:iCs w:val="0"/>
          <w:caps/>
          <w:szCs w:val="24"/>
        </w:rPr>
        <w:fldChar w:fldCharType="separate"/>
      </w:r>
      <w:r>
        <w:rPr>
          <w:rFonts w:hint="eastAsia"/>
          <w:lang w:eastAsia="zh-CN"/>
        </w:rPr>
        <w:t>1.1评价对象和范围</w:t>
      </w:r>
      <w:r>
        <w:tab/>
      </w:r>
      <w:r>
        <w:fldChar w:fldCharType="begin"/>
      </w:r>
      <w:r>
        <w:instrText xml:space="preserve"> PAGEREF _Toc2573 \h </w:instrText>
      </w:r>
      <w:r>
        <w:fldChar w:fldCharType="separate"/>
      </w:r>
      <w:r>
        <w:t>1</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_Toc3164 </w:instrText>
      </w:r>
      <w:r>
        <w:rPr>
          <w:rFonts w:hint="eastAsia" w:ascii="宋体" w:hAnsi="宋体" w:eastAsia="宋体" w:cs="宋体"/>
          <w:bCs/>
          <w:i w:val="0"/>
          <w:iCs w:val="0"/>
          <w:caps/>
          <w:szCs w:val="24"/>
        </w:rPr>
        <w:fldChar w:fldCharType="separate"/>
      </w:r>
      <w:r>
        <w:rPr>
          <w:rFonts w:hint="eastAsia"/>
          <w:lang w:eastAsia="zh-CN"/>
        </w:rPr>
        <w:t>1.1.1评价对象</w:t>
      </w:r>
      <w:r>
        <w:tab/>
      </w:r>
      <w:r>
        <w:fldChar w:fldCharType="begin"/>
      </w:r>
      <w:r>
        <w:instrText xml:space="preserve"> PAGEREF _Toc3164 \h </w:instrText>
      </w:r>
      <w:r>
        <w:fldChar w:fldCharType="separate"/>
      </w:r>
      <w:r>
        <w:t>1</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_Toc26606 </w:instrText>
      </w:r>
      <w:r>
        <w:rPr>
          <w:rFonts w:hint="eastAsia" w:ascii="宋体" w:hAnsi="宋体" w:eastAsia="宋体" w:cs="宋体"/>
          <w:bCs/>
          <w:i w:val="0"/>
          <w:iCs w:val="0"/>
          <w:caps/>
          <w:szCs w:val="24"/>
        </w:rPr>
        <w:fldChar w:fldCharType="separate"/>
      </w:r>
      <w:r>
        <w:rPr>
          <w:rFonts w:hint="eastAsia"/>
          <w:lang w:eastAsia="zh-CN"/>
        </w:rPr>
        <w:t>1.1.2评价范围</w:t>
      </w:r>
      <w:r>
        <w:tab/>
      </w:r>
      <w:r>
        <w:fldChar w:fldCharType="begin"/>
      </w:r>
      <w:r>
        <w:instrText xml:space="preserve"> PAGEREF _Toc26606 \h </w:instrText>
      </w:r>
      <w:r>
        <w:fldChar w:fldCharType="separate"/>
      </w:r>
      <w:r>
        <w:t>1</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_Toc25066 </w:instrText>
      </w:r>
      <w:r>
        <w:rPr>
          <w:rFonts w:hint="eastAsia" w:ascii="宋体" w:hAnsi="宋体" w:eastAsia="宋体" w:cs="宋体"/>
          <w:bCs/>
          <w:i w:val="0"/>
          <w:iCs w:val="0"/>
          <w:caps/>
          <w:szCs w:val="24"/>
        </w:rPr>
        <w:fldChar w:fldCharType="separate"/>
      </w:r>
      <w:r>
        <w:rPr>
          <w:rFonts w:hint="eastAsia"/>
          <w:lang w:eastAsia="zh-CN"/>
        </w:rPr>
        <w:t>1.2评价依据</w:t>
      </w:r>
      <w:r>
        <w:tab/>
      </w:r>
      <w:r>
        <w:fldChar w:fldCharType="begin"/>
      </w:r>
      <w:r>
        <w:instrText xml:space="preserve"> PAGEREF _Toc25066 \h </w:instrText>
      </w:r>
      <w:r>
        <w:fldChar w:fldCharType="separate"/>
      </w:r>
      <w:r>
        <w:t>1</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_Toc29007 </w:instrText>
      </w:r>
      <w:r>
        <w:rPr>
          <w:rFonts w:hint="eastAsia" w:ascii="宋体" w:hAnsi="宋体" w:eastAsia="宋体" w:cs="宋体"/>
          <w:bCs/>
          <w:i w:val="0"/>
          <w:iCs w:val="0"/>
          <w:caps/>
          <w:szCs w:val="24"/>
        </w:rPr>
        <w:fldChar w:fldCharType="separate"/>
      </w:r>
      <w:r>
        <w:rPr>
          <w:lang w:eastAsia="zh-CN"/>
        </w:rPr>
        <w:t>1.</w:t>
      </w:r>
      <w:r>
        <w:rPr>
          <w:rFonts w:hint="eastAsia"/>
          <w:lang w:eastAsia="zh-CN"/>
        </w:rPr>
        <w:t>2</w:t>
      </w:r>
      <w:r>
        <w:rPr>
          <w:lang w:eastAsia="zh-CN"/>
        </w:rPr>
        <w:t>.1国家法律</w:t>
      </w:r>
      <w:r>
        <w:tab/>
      </w:r>
      <w:r>
        <w:fldChar w:fldCharType="begin"/>
      </w:r>
      <w:r>
        <w:instrText xml:space="preserve"> PAGEREF _Toc29007 \h </w:instrText>
      </w:r>
      <w:r>
        <w:fldChar w:fldCharType="separate"/>
      </w:r>
      <w:r>
        <w:t>1</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_Toc8388 </w:instrText>
      </w:r>
      <w:r>
        <w:rPr>
          <w:rFonts w:hint="eastAsia" w:ascii="宋体" w:hAnsi="宋体" w:eastAsia="宋体" w:cs="宋体"/>
          <w:bCs/>
          <w:i w:val="0"/>
          <w:iCs w:val="0"/>
          <w:caps/>
          <w:szCs w:val="24"/>
        </w:rPr>
        <w:fldChar w:fldCharType="separate"/>
      </w:r>
      <w:r>
        <w:rPr>
          <w:lang w:eastAsia="zh-CN"/>
        </w:rPr>
        <w:t>1.</w:t>
      </w:r>
      <w:r>
        <w:rPr>
          <w:rFonts w:hint="eastAsia"/>
          <w:lang w:eastAsia="zh-CN"/>
        </w:rPr>
        <w:t>2</w:t>
      </w:r>
      <w:r>
        <w:rPr>
          <w:lang w:eastAsia="zh-CN"/>
        </w:rPr>
        <w:t>.2行政法规</w:t>
      </w:r>
      <w:r>
        <w:tab/>
      </w:r>
      <w:r>
        <w:fldChar w:fldCharType="begin"/>
      </w:r>
      <w:r>
        <w:instrText xml:space="preserve"> PAGEREF _Toc8388 \h </w:instrText>
      </w:r>
      <w:r>
        <w:fldChar w:fldCharType="separate"/>
      </w:r>
      <w:r>
        <w:t>2</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_Toc14444 </w:instrText>
      </w:r>
      <w:r>
        <w:rPr>
          <w:rFonts w:hint="eastAsia" w:ascii="宋体" w:hAnsi="宋体" w:eastAsia="宋体" w:cs="宋体"/>
          <w:bCs/>
          <w:i w:val="0"/>
          <w:iCs w:val="0"/>
          <w:caps/>
          <w:szCs w:val="24"/>
        </w:rPr>
        <w:fldChar w:fldCharType="separate"/>
      </w:r>
      <w:r>
        <w:rPr>
          <w:lang w:eastAsia="zh-CN"/>
        </w:rPr>
        <w:t>1.</w:t>
      </w:r>
      <w:r>
        <w:rPr>
          <w:rFonts w:hint="eastAsia"/>
          <w:lang w:eastAsia="zh-CN"/>
        </w:rPr>
        <w:t>2</w:t>
      </w:r>
      <w:r>
        <w:rPr>
          <w:lang w:eastAsia="zh-CN"/>
        </w:rPr>
        <w:t>.3部门规章</w:t>
      </w:r>
      <w:r>
        <w:tab/>
      </w:r>
      <w:r>
        <w:fldChar w:fldCharType="begin"/>
      </w:r>
      <w:r>
        <w:instrText xml:space="preserve"> PAGEREF _Toc14444 \h </w:instrText>
      </w:r>
      <w:r>
        <w:fldChar w:fldCharType="separate"/>
      </w:r>
      <w:r>
        <w:t>3</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_Toc654 </w:instrText>
      </w:r>
      <w:r>
        <w:rPr>
          <w:rFonts w:hint="eastAsia" w:ascii="宋体" w:hAnsi="宋体" w:eastAsia="宋体" w:cs="宋体"/>
          <w:bCs/>
          <w:i w:val="0"/>
          <w:iCs w:val="0"/>
          <w:caps/>
          <w:szCs w:val="24"/>
        </w:rPr>
        <w:fldChar w:fldCharType="separate"/>
      </w:r>
      <w:r>
        <w:rPr>
          <w:lang w:eastAsia="zh-CN"/>
        </w:rPr>
        <w:t>1.</w:t>
      </w:r>
      <w:r>
        <w:rPr>
          <w:rFonts w:hint="eastAsia"/>
          <w:lang w:eastAsia="zh-CN"/>
        </w:rPr>
        <w:t>2</w:t>
      </w:r>
      <w:r>
        <w:rPr>
          <w:lang w:eastAsia="zh-CN"/>
        </w:rPr>
        <w:t>.4</w:t>
      </w:r>
      <w:r>
        <w:rPr>
          <w:rFonts w:hint="eastAsia"/>
          <w:lang w:eastAsia="zh-CN"/>
        </w:rPr>
        <w:t>地方性法规及规范性</w:t>
      </w:r>
      <w:r>
        <w:rPr>
          <w:lang w:eastAsia="zh-CN"/>
        </w:rPr>
        <w:t>文件</w:t>
      </w:r>
      <w:r>
        <w:tab/>
      </w:r>
      <w:r>
        <w:fldChar w:fldCharType="begin"/>
      </w:r>
      <w:r>
        <w:instrText xml:space="preserve"> PAGEREF _Toc654 \h </w:instrText>
      </w:r>
      <w:r>
        <w:fldChar w:fldCharType="separate"/>
      </w:r>
      <w:r>
        <w:t>4</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_Toc10056 </w:instrText>
      </w:r>
      <w:r>
        <w:rPr>
          <w:rFonts w:hint="eastAsia" w:ascii="宋体" w:hAnsi="宋体" w:eastAsia="宋体" w:cs="宋体"/>
          <w:bCs/>
          <w:i w:val="0"/>
          <w:iCs w:val="0"/>
          <w:caps/>
          <w:szCs w:val="24"/>
        </w:rPr>
        <w:fldChar w:fldCharType="separate"/>
      </w:r>
      <w:r>
        <w:rPr>
          <w:lang w:eastAsia="zh-CN"/>
        </w:rPr>
        <w:t>1.</w:t>
      </w:r>
      <w:r>
        <w:rPr>
          <w:rFonts w:hint="eastAsia"/>
          <w:lang w:eastAsia="zh-CN"/>
        </w:rPr>
        <w:t>2</w:t>
      </w:r>
      <w:r>
        <w:rPr>
          <w:lang w:eastAsia="zh-CN"/>
        </w:rPr>
        <w:t>.5标准</w:t>
      </w:r>
      <w:r>
        <w:rPr>
          <w:rFonts w:hint="eastAsia"/>
          <w:lang w:eastAsia="zh-CN"/>
        </w:rPr>
        <w:t>规范</w:t>
      </w:r>
      <w:r>
        <w:tab/>
      </w:r>
      <w:r>
        <w:fldChar w:fldCharType="begin"/>
      </w:r>
      <w:r>
        <w:instrText xml:space="preserve"> PAGEREF _Toc10056 \h </w:instrText>
      </w:r>
      <w:r>
        <w:fldChar w:fldCharType="separate"/>
      </w:r>
      <w:r>
        <w:t>5</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_Toc19562 </w:instrText>
      </w:r>
      <w:r>
        <w:rPr>
          <w:rFonts w:hint="eastAsia" w:ascii="宋体" w:hAnsi="宋体" w:eastAsia="宋体" w:cs="宋体"/>
          <w:bCs/>
          <w:i w:val="0"/>
          <w:iCs w:val="0"/>
          <w:caps/>
          <w:szCs w:val="24"/>
        </w:rPr>
        <w:fldChar w:fldCharType="separate"/>
      </w:r>
      <w:r>
        <w:rPr>
          <w:rFonts w:hint="eastAsia"/>
          <w:lang w:eastAsia="zh-CN"/>
        </w:rPr>
        <w:t>1.2.6项目合法证明文件</w:t>
      </w:r>
      <w:r>
        <w:tab/>
      </w:r>
      <w:r>
        <w:fldChar w:fldCharType="begin"/>
      </w:r>
      <w:r>
        <w:instrText xml:space="preserve"> PAGEREF _Toc19562 \h </w:instrText>
      </w:r>
      <w:r>
        <w:fldChar w:fldCharType="separate"/>
      </w:r>
      <w:r>
        <w:t>6</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_Toc3329 </w:instrText>
      </w:r>
      <w:r>
        <w:rPr>
          <w:rFonts w:hint="eastAsia" w:ascii="宋体" w:hAnsi="宋体" w:eastAsia="宋体" w:cs="宋体"/>
          <w:bCs/>
          <w:i w:val="0"/>
          <w:iCs w:val="0"/>
          <w:caps/>
          <w:szCs w:val="24"/>
        </w:rPr>
        <w:fldChar w:fldCharType="separate"/>
      </w:r>
      <w:r>
        <w:rPr>
          <w:rFonts w:hint="eastAsia"/>
          <w:lang w:eastAsia="zh-CN"/>
        </w:rPr>
        <w:t>1.2.7项目技术资料</w:t>
      </w:r>
      <w:r>
        <w:tab/>
      </w:r>
      <w:r>
        <w:fldChar w:fldCharType="begin"/>
      </w:r>
      <w:r>
        <w:instrText xml:space="preserve"> PAGEREF _Toc3329 \h </w:instrText>
      </w:r>
      <w:r>
        <w:fldChar w:fldCharType="separate"/>
      </w:r>
      <w:r>
        <w:t>6</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_Toc15739 </w:instrText>
      </w:r>
      <w:r>
        <w:rPr>
          <w:rFonts w:hint="eastAsia" w:ascii="宋体" w:hAnsi="宋体" w:eastAsia="宋体" w:cs="宋体"/>
          <w:bCs/>
          <w:i w:val="0"/>
          <w:iCs w:val="0"/>
          <w:caps/>
          <w:szCs w:val="24"/>
        </w:rPr>
        <w:fldChar w:fldCharType="separate"/>
      </w:r>
      <w:r>
        <w:rPr>
          <w:rFonts w:hint="eastAsia"/>
          <w:lang w:eastAsia="zh-CN"/>
        </w:rPr>
        <w:t>1.2.8其他评价依据</w:t>
      </w:r>
      <w:r>
        <w:tab/>
      </w:r>
      <w:r>
        <w:fldChar w:fldCharType="begin"/>
      </w:r>
      <w:r>
        <w:instrText xml:space="preserve"> PAGEREF _Toc15739 \h </w:instrText>
      </w:r>
      <w:r>
        <w:fldChar w:fldCharType="separate"/>
      </w:r>
      <w:r>
        <w:t>7</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_Toc3772 </w:instrText>
      </w:r>
      <w:r>
        <w:rPr>
          <w:rFonts w:hint="eastAsia" w:ascii="宋体" w:hAnsi="宋体" w:eastAsia="宋体" w:cs="宋体"/>
          <w:bCs/>
          <w:i w:val="0"/>
          <w:iCs w:val="0"/>
          <w:caps/>
          <w:szCs w:val="24"/>
        </w:rPr>
        <w:fldChar w:fldCharType="separate"/>
      </w:r>
      <w:r>
        <w:rPr>
          <w:rFonts w:hint="eastAsia"/>
          <w:lang w:eastAsia="zh-CN"/>
        </w:rPr>
        <w:t>1.3评价原则</w:t>
      </w:r>
      <w:r>
        <w:tab/>
      </w:r>
      <w:r>
        <w:fldChar w:fldCharType="begin"/>
      </w:r>
      <w:r>
        <w:instrText xml:space="preserve"> PAGEREF _Toc3772 \h </w:instrText>
      </w:r>
      <w:r>
        <w:fldChar w:fldCharType="separate"/>
      </w:r>
      <w:r>
        <w:t>7</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_Toc1686 </w:instrText>
      </w:r>
      <w:r>
        <w:rPr>
          <w:rFonts w:hint="eastAsia" w:ascii="宋体" w:hAnsi="宋体" w:eastAsia="宋体" w:cs="宋体"/>
          <w:bCs/>
          <w:i w:val="0"/>
          <w:iCs w:val="0"/>
          <w:caps/>
          <w:szCs w:val="24"/>
        </w:rPr>
        <w:fldChar w:fldCharType="separate"/>
      </w:r>
      <w:r>
        <w:rPr>
          <w:rFonts w:hint="eastAsia"/>
          <w:lang w:eastAsia="zh-CN"/>
        </w:rPr>
        <w:t>1.4评价程序</w:t>
      </w:r>
      <w:r>
        <w:tab/>
      </w:r>
      <w:r>
        <w:fldChar w:fldCharType="begin"/>
      </w:r>
      <w:r>
        <w:instrText xml:space="preserve"> PAGEREF _Toc1686 \h </w:instrText>
      </w:r>
      <w:r>
        <w:fldChar w:fldCharType="separate"/>
      </w:r>
      <w:r>
        <w:t>8</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_Toc24867 </w:instrText>
      </w:r>
      <w:r>
        <w:rPr>
          <w:rFonts w:hint="eastAsia" w:ascii="宋体" w:hAnsi="宋体" w:eastAsia="宋体" w:cs="宋体"/>
          <w:bCs/>
          <w:i w:val="0"/>
          <w:iCs w:val="0"/>
          <w:caps/>
          <w:szCs w:val="24"/>
        </w:rPr>
        <w:fldChar w:fldCharType="separate"/>
      </w:r>
      <w:r>
        <w:rPr>
          <w:rFonts w:hint="eastAsia"/>
          <w:lang w:eastAsia="zh-CN"/>
        </w:rPr>
        <w:t>1.5评价基准日</w:t>
      </w:r>
      <w:r>
        <w:tab/>
      </w:r>
      <w:r>
        <w:fldChar w:fldCharType="begin"/>
      </w:r>
      <w:r>
        <w:instrText xml:space="preserve"> PAGEREF _Toc24867 \h </w:instrText>
      </w:r>
      <w:r>
        <w:fldChar w:fldCharType="separate"/>
      </w:r>
      <w:r>
        <w:t>9</w:t>
      </w:r>
      <w:r>
        <w:fldChar w:fldCharType="end"/>
      </w:r>
      <w:r>
        <w:rPr>
          <w:rFonts w:hint="eastAsia" w:ascii="宋体" w:hAnsi="宋体" w:eastAsia="宋体" w:cs="宋体"/>
          <w:bCs/>
          <w:i w:val="0"/>
          <w:iCs w:val="0"/>
          <w:caps/>
          <w:color w:val="auto"/>
          <w:szCs w:val="24"/>
        </w:rPr>
        <w:fldChar w:fldCharType="end"/>
      </w:r>
    </w:p>
    <w:p>
      <w:pPr>
        <w:pStyle w:val="25"/>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_Toc15452 </w:instrText>
      </w:r>
      <w:r>
        <w:rPr>
          <w:rFonts w:hint="eastAsia" w:ascii="宋体" w:hAnsi="宋体" w:eastAsia="宋体" w:cs="宋体"/>
          <w:bCs/>
          <w:i w:val="0"/>
          <w:iCs w:val="0"/>
          <w:caps/>
          <w:szCs w:val="24"/>
        </w:rPr>
        <w:fldChar w:fldCharType="separate"/>
      </w:r>
      <w:r>
        <w:rPr>
          <w:rFonts w:hint="eastAsia"/>
          <w:lang w:eastAsia="zh-CN"/>
        </w:rPr>
        <w:t>第2章</w:t>
      </w:r>
      <w:r>
        <w:rPr>
          <w:rFonts w:hint="eastAsia"/>
          <w:lang w:val="en-US" w:eastAsia="zh-CN"/>
        </w:rPr>
        <w:t xml:space="preserve">  </w:t>
      </w:r>
      <w:r>
        <w:rPr>
          <w:rFonts w:hint="eastAsia"/>
          <w:lang w:eastAsia="zh-CN"/>
        </w:rPr>
        <w:t>项目概述</w:t>
      </w:r>
      <w:r>
        <w:tab/>
      </w:r>
      <w:r>
        <w:fldChar w:fldCharType="begin"/>
      </w:r>
      <w:r>
        <w:instrText xml:space="preserve"> PAGEREF _Toc15452 \h </w:instrText>
      </w:r>
      <w:r>
        <w:fldChar w:fldCharType="separate"/>
      </w:r>
      <w:r>
        <w:t>10</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_Toc5760 </w:instrText>
      </w:r>
      <w:r>
        <w:rPr>
          <w:rFonts w:hint="eastAsia" w:ascii="宋体" w:hAnsi="宋体" w:eastAsia="宋体" w:cs="宋体"/>
          <w:bCs/>
          <w:i w:val="0"/>
          <w:iCs w:val="0"/>
          <w:caps/>
          <w:szCs w:val="24"/>
        </w:rPr>
        <w:fldChar w:fldCharType="separate"/>
      </w:r>
      <w:r>
        <w:rPr>
          <w:rFonts w:hint="eastAsia"/>
          <w:lang w:eastAsia="zh-CN"/>
        </w:rPr>
        <w:t>2.1项目概况</w:t>
      </w:r>
      <w:r>
        <w:tab/>
      </w:r>
      <w:r>
        <w:fldChar w:fldCharType="begin"/>
      </w:r>
      <w:r>
        <w:instrText xml:space="preserve"> PAGEREF _Toc5760 \h </w:instrText>
      </w:r>
      <w:r>
        <w:fldChar w:fldCharType="separate"/>
      </w:r>
      <w:r>
        <w:t>10</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_Toc32599 </w:instrText>
      </w:r>
      <w:r>
        <w:rPr>
          <w:rFonts w:hint="eastAsia" w:ascii="宋体" w:hAnsi="宋体" w:eastAsia="宋体" w:cs="宋体"/>
          <w:bCs/>
          <w:i w:val="0"/>
          <w:iCs w:val="0"/>
          <w:caps/>
          <w:szCs w:val="24"/>
        </w:rPr>
        <w:fldChar w:fldCharType="separate"/>
      </w:r>
      <w:r>
        <w:rPr>
          <w:rFonts w:hint="eastAsia"/>
          <w:lang w:eastAsia="zh-CN"/>
        </w:rPr>
        <w:t>2.1.1项目单位简介</w:t>
      </w:r>
      <w:r>
        <w:tab/>
      </w:r>
      <w:r>
        <w:fldChar w:fldCharType="begin"/>
      </w:r>
      <w:r>
        <w:instrText xml:space="preserve"> PAGEREF _Toc32599 \h </w:instrText>
      </w:r>
      <w:r>
        <w:fldChar w:fldCharType="separate"/>
      </w:r>
      <w:r>
        <w:t>10</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_Toc28409 </w:instrText>
      </w:r>
      <w:r>
        <w:rPr>
          <w:rFonts w:hint="eastAsia" w:ascii="宋体" w:hAnsi="宋体" w:eastAsia="宋体" w:cs="宋体"/>
          <w:bCs/>
          <w:i w:val="0"/>
          <w:iCs w:val="0"/>
          <w:caps/>
          <w:szCs w:val="24"/>
        </w:rPr>
        <w:fldChar w:fldCharType="separate"/>
      </w:r>
      <w:r>
        <w:rPr>
          <w:rFonts w:hint="eastAsia"/>
          <w:lang w:eastAsia="zh-CN"/>
        </w:rPr>
        <w:t>2.1.2地理位置及交通</w:t>
      </w:r>
      <w:r>
        <w:tab/>
      </w:r>
      <w:r>
        <w:fldChar w:fldCharType="begin"/>
      </w:r>
      <w:r>
        <w:instrText xml:space="preserve"> PAGEREF _Toc28409 \h </w:instrText>
      </w:r>
      <w:r>
        <w:fldChar w:fldCharType="separate"/>
      </w:r>
      <w:r>
        <w:t>12</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_Toc12753 </w:instrText>
      </w:r>
      <w:r>
        <w:rPr>
          <w:rFonts w:hint="eastAsia" w:ascii="宋体" w:hAnsi="宋体" w:eastAsia="宋体" w:cs="宋体"/>
          <w:bCs/>
          <w:i w:val="0"/>
          <w:iCs w:val="0"/>
          <w:caps/>
          <w:szCs w:val="24"/>
        </w:rPr>
        <w:fldChar w:fldCharType="separate"/>
      </w:r>
      <w:r>
        <w:rPr>
          <w:rFonts w:hint="eastAsia"/>
          <w:lang w:eastAsia="zh-CN"/>
        </w:rPr>
        <w:t>2.1.3矿区周边环境</w:t>
      </w:r>
      <w:r>
        <w:tab/>
      </w:r>
      <w:r>
        <w:fldChar w:fldCharType="begin"/>
      </w:r>
      <w:r>
        <w:instrText xml:space="preserve"> PAGEREF _Toc12753 \h </w:instrText>
      </w:r>
      <w:r>
        <w:fldChar w:fldCharType="separate"/>
      </w:r>
      <w:r>
        <w:t>12</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_Toc17282 </w:instrText>
      </w:r>
      <w:r>
        <w:rPr>
          <w:rFonts w:hint="eastAsia" w:ascii="宋体" w:hAnsi="宋体" w:eastAsia="宋体" w:cs="宋体"/>
          <w:bCs/>
          <w:i w:val="0"/>
          <w:iCs w:val="0"/>
          <w:caps/>
          <w:szCs w:val="24"/>
        </w:rPr>
        <w:fldChar w:fldCharType="separate"/>
      </w:r>
      <w:r>
        <w:rPr>
          <w:rFonts w:hint="eastAsia"/>
          <w:lang w:eastAsia="zh-CN"/>
        </w:rPr>
        <w:t>2.2自然环境概况</w:t>
      </w:r>
      <w:r>
        <w:tab/>
      </w:r>
      <w:r>
        <w:fldChar w:fldCharType="begin"/>
      </w:r>
      <w:r>
        <w:instrText xml:space="preserve"> PAGEREF _Toc17282 \h </w:instrText>
      </w:r>
      <w:r>
        <w:fldChar w:fldCharType="separate"/>
      </w:r>
      <w:r>
        <w:t>14</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_Toc4470 </w:instrText>
      </w:r>
      <w:r>
        <w:rPr>
          <w:rFonts w:hint="eastAsia" w:ascii="宋体" w:hAnsi="宋体" w:eastAsia="宋体" w:cs="宋体"/>
          <w:bCs/>
          <w:i w:val="0"/>
          <w:iCs w:val="0"/>
          <w:caps/>
          <w:szCs w:val="24"/>
        </w:rPr>
        <w:fldChar w:fldCharType="separate"/>
      </w:r>
      <w:r>
        <w:rPr>
          <w:rFonts w:hint="eastAsia"/>
          <w:lang w:eastAsia="zh-CN"/>
        </w:rPr>
        <w:t>2.3地质概况</w:t>
      </w:r>
      <w:r>
        <w:tab/>
      </w:r>
      <w:r>
        <w:fldChar w:fldCharType="begin"/>
      </w:r>
      <w:r>
        <w:instrText xml:space="preserve"> PAGEREF _Toc4470 \h </w:instrText>
      </w:r>
      <w:r>
        <w:fldChar w:fldCharType="separate"/>
      </w:r>
      <w:r>
        <w:t>15</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_Toc10616 </w:instrText>
      </w:r>
      <w:r>
        <w:rPr>
          <w:rFonts w:hint="eastAsia" w:ascii="宋体" w:hAnsi="宋体" w:eastAsia="宋体" w:cs="宋体"/>
          <w:bCs/>
          <w:i w:val="0"/>
          <w:iCs w:val="0"/>
          <w:caps/>
          <w:szCs w:val="24"/>
        </w:rPr>
        <w:fldChar w:fldCharType="separate"/>
      </w:r>
      <w:r>
        <w:rPr>
          <w:rFonts w:hint="eastAsia"/>
          <w:lang w:eastAsia="zh-CN"/>
        </w:rPr>
        <w:t>2.3.1矿区地质概况</w:t>
      </w:r>
      <w:r>
        <w:tab/>
      </w:r>
      <w:r>
        <w:fldChar w:fldCharType="begin"/>
      </w:r>
      <w:r>
        <w:instrText xml:space="preserve"> PAGEREF _Toc10616 \h </w:instrText>
      </w:r>
      <w:r>
        <w:fldChar w:fldCharType="separate"/>
      </w:r>
      <w:r>
        <w:t>15</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_Toc31495 </w:instrText>
      </w:r>
      <w:r>
        <w:rPr>
          <w:rFonts w:hint="eastAsia" w:ascii="宋体" w:hAnsi="宋体" w:eastAsia="宋体" w:cs="宋体"/>
          <w:bCs/>
          <w:i w:val="0"/>
          <w:iCs w:val="0"/>
          <w:caps/>
          <w:szCs w:val="24"/>
        </w:rPr>
        <w:fldChar w:fldCharType="separate"/>
      </w:r>
      <w:r>
        <w:rPr>
          <w:rFonts w:hint="eastAsia"/>
          <w:lang w:eastAsia="zh-CN"/>
        </w:rPr>
        <w:t>2.3.2矿床地质特征</w:t>
      </w:r>
      <w:r>
        <w:tab/>
      </w:r>
      <w:r>
        <w:fldChar w:fldCharType="begin"/>
      </w:r>
      <w:r>
        <w:instrText xml:space="preserve"> PAGEREF _Toc31495 \h </w:instrText>
      </w:r>
      <w:r>
        <w:fldChar w:fldCharType="separate"/>
      </w:r>
      <w:r>
        <w:t>16</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_Toc7177 </w:instrText>
      </w:r>
      <w:r>
        <w:rPr>
          <w:rFonts w:hint="eastAsia" w:ascii="宋体" w:hAnsi="宋体" w:eastAsia="宋体" w:cs="宋体"/>
          <w:bCs/>
          <w:i w:val="0"/>
          <w:iCs w:val="0"/>
          <w:caps/>
          <w:szCs w:val="24"/>
        </w:rPr>
        <w:fldChar w:fldCharType="separate"/>
      </w:r>
      <w:r>
        <w:rPr>
          <w:rFonts w:hint="eastAsia"/>
          <w:lang w:eastAsia="zh-CN"/>
        </w:rPr>
        <w:t>2.3.3矿区水文地质</w:t>
      </w:r>
      <w:r>
        <w:tab/>
      </w:r>
      <w:r>
        <w:fldChar w:fldCharType="begin"/>
      </w:r>
      <w:r>
        <w:instrText xml:space="preserve"> PAGEREF _Toc7177 \h </w:instrText>
      </w:r>
      <w:r>
        <w:fldChar w:fldCharType="separate"/>
      </w:r>
      <w:r>
        <w:t>18</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_Toc4264 </w:instrText>
      </w:r>
      <w:r>
        <w:rPr>
          <w:rFonts w:hint="eastAsia" w:ascii="宋体" w:hAnsi="宋体" w:eastAsia="宋体" w:cs="宋体"/>
          <w:bCs/>
          <w:i w:val="0"/>
          <w:iCs w:val="0"/>
          <w:caps/>
          <w:szCs w:val="24"/>
        </w:rPr>
        <w:fldChar w:fldCharType="separate"/>
      </w:r>
      <w:r>
        <w:rPr>
          <w:rFonts w:hint="eastAsia"/>
          <w:lang w:eastAsia="zh-CN"/>
        </w:rPr>
        <w:t>2.3.4工程地质条件</w:t>
      </w:r>
      <w:r>
        <w:tab/>
      </w:r>
      <w:r>
        <w:fldChar w:fldCharType="begin"/>
      </w:r>
      <w:r>
        <w:instrText xml:space="preserve"> PAGEREF _Toc4264 \h </w:instrText>
      </w:r>
      <w:r>
        <w:fldChar w:fldCharType="separate"/>
      </w:r>
      <w:r>
        <w:t>18</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_Toc8652 </w:instrText>
      </w:r>
      <w:r>
        <w:rPr>
          <w:rFonts w:hint="eastAsia" w:ascii="宋体" w:hAnsi="宋体" w:eastAsia="宋体" w:cs="宋体"/>
          <w:bCs/>
          <w:i w:val="0"/>
          <w:iCs w:val="0"/>
          <w:caps/>
          <w:szCs w:val="24"/>
        </w:rPr>
        <w:fldChar w:fldCharType="separate"/>
      </w:r>
      <w:r>
        <w:rPr>
          <w:rFonts w:hint="eastAsia"/>
          <w:lang w:eastAsia="zh-CN"/>
        </w:rPr>
        <w:t>2.3.5环境地质</w:t>
      </w:r>
      <w:r>
        <w:tab/>
      </w:r>
      <w:r>
        <w:fldChar w:fldCharType="begin"/>
      </w:r>
      <w:r>
        <w:instrText xml:space="preserve"> PAGEREF _Toc8652 \h </w:instrText>
      </w:r>
      <w:r>
        <w:fldChar w:fldCharType="separate"/>
      </w:r>
      <w:r>
        <w:t>19</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_Toc32651 </w:instrText>
      </w:r>
      <w:r>
        <w:rPr>
          <w:rFonts w:hint="eastAsia" w:ascii="宋体" w:hAnsi="宋体" w:eastAsia="宋体" w:cs="宋体"/>
          <w:bCs/>
          <w:i w:val="0"/>
          <w:iCs w:val="0"/>
          <w:caps/>
          <w:szCs w:val="24"/>
        </w:rPr>
        <w:fldChar w:fldCharType="separate"/>
      </w:r>
      <w:r>
        <w:rPr>
          <w:rFonts w:hint="eastAsia"/>
          <w:lang w:eastAsia="zh-CN"/>
        </w:rPr>
        <w:t>2.4矿山开采现状</w:t>
      </w:r>
      <w:r>
        <w:tab/>
      </w:r>
      <w:r>
        <w:fldChar w:fldCharType="begin"/>
      </w:r>
      <w:r>
        <w:instrText xml:space="preserve"> PAGEREF _Toc32651 \h </w:instrText>
      </w:r>
      <w:r>
        <w:fldChar w:fldCharType="separate"/>
      </w:r>
      <w:r>
        <w:t>20</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_Toc22589 </w:instrText>
      </w:r>
      <w:r>
        <w:rPr>
          <w:rFonts w:hint="eastAsia" w:ascii="宋体" w:hAnsi="宋体" w:eastAsia="宋体" w:cs="宋体"/>
          <w:bCs/>
          <w:i w:val="0"/>
          <w:iCs w:val="0"/>
          <w:caps/>
          <w:szCs w:val="24"/>
        </w:rPr>
        <w:fldChar w:fldCharType="separate"/>
      </w:r>
      <w:r>
        <w:rPr>
          <w:rFonts w:hint="eastAsia"/>
          <w:lang w:eastAsia="zh-CN"/>
        </w:rPr>
        <w:t>2.4.1矿山开采现状</w:t>
      </w:r>
      <w:r>
        <w:tab/>
      </w:r>
      <w:r>
        <w:fldChar w:fldCharType="begin"/>
      </w:r>
      <w:r>
        <w:instrText xml:space="preserve"> PAGEREF _Toc22589 \h </w:instrText>
      </w:r>
      <w:r>
        <w:fldChar w:fldCharType="separate"/>
      </w:r>
      <w:r>
        <w:t>20</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_Toc18439 </w:instrText>
      </w:r>
      <w:r>
        <w:rPr>
          <w:rFonts w:hint="eastAsia" w:ascii="宋体" w:hAnsi="宋体" w:eastAsia="宋体" w:cs="宋体"/>
          <w:bCs/>
          <w:i w:val="0"/>
          <w:iCs w:val="0"/>
          <w:caps/>
          <w:szCs w:val="24"/>
        </w:rPr>
        <w:fldChar w:fldCharType="separate"/>
      </w:r>
      <w:r>
        <w:rPr>
          <w:rFonts w:hint="eastAsia"/>
          <w:lang w:eastAsia="zh-CN"/>
        </w:rPr>
        <w:t>2.4.2总平面布置</w:t>
      </w:r>
      <w:r>
        <w:tab/>
      </w:r>
      <w:r>
        <w:fldChar w:fldCharType="begin"/>
      </w:r>
      <w:r>
        <w:instrText xml:space="preserve"> PAGEREF _Toc18439 \h </w:instrText>
      </w:r>
      <w:r>
        <w:fldChar w:fldCharType="separate"/>
      </w:r>
      <w:r>
        <w:t>21</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_Toc23545 </w:instrText>
      </w:r>
      <w:r>
        <w:rPr>
          <w:rFonts w:hint="eastAsia" w:ascii="宋体" w:hAnsi="宋体" w:eastAsia="宋体" w:cs="宋体"/>
          <w:bCs/>
          <w:i w:val="0"/>
          <w:iCs w:val="0"/>
          <w:caps/>
          <w:szCs w:val="24"/>
        </w:rPr>
        <w:fldChar w:fldCharType="separate"/>
      </w:r>
      <w:r>
        <w:rPr>
          <w:rFonts w:hint="eastAsia"/>
          <w:lang w:eastAsia="zh-CN"/>
        </w:rPr>
        <w:t>2.4.3开采范围</w:t>
      </w:r>
      <w:r>
        <w:tab/>
      </w:r>
      <w:r>
        <w:fldChar w:fldCharType="begin"/>
      </w:r>
      <w:r>
        <w:instrText xml:space="preserve"> PAGEREF _Toc23545 \h </w:instrText>
      </w:r>
      <w:r>
        <w:fldChar w:fldCharType="separate"/>
      </w:r>
      <w:r>
        <w:t>22</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_Toc17248 </w:instrText>
      </w:r>
      <w:r>
        <w:rPr>
          <w:rFonts w:hint="eastAsia" w:ascii="宋体" w:hAnsi="宋体" w:eastAsia="宋体" w:cs="宋体"/>
          <w:bCs/>
          <w:i w:val="0"/>
          <w:iCs w:val="0"/>
          <w:caps/>
          <w:szCs w:val="24"/>
        </w:rPr>
        <w:fldChar w:fldCharType="separate"/>
      </w:r>
      <w:r>
        <w:rPr>
          <w:rFonts w:hint="eastAsia"/>
          <w:lang w:eastAsia="zh-CN"/>
        </w:rPr>
        <w:t>2.4.4生产规模及工作制度</w:t>
      </w:r>
      <w:r>
        <w:tab/>
      </w:r>
      <w:r>
        <w:fldChar w:fldCharType="begin"/>
      </w:r>
      <w:r>
        <w:instrText xml:space="preserve"> PAGEREF _Toc17248 \h </w:instrText>
      </w:r>
      <w:r>
        <w:fldChar w:fldCharType="separate"/>
      </w:r>
      <w:r>
        <w:t>22</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_Toc31721 </w:instrText>
      </w:r>
      <w:r>
        <w:rPr>
          <w:rFonts w:hint="eastAsia" w:ascii="宋体" w:hAnsi="宋体" w:eastAsia="宋体" w:cs="宋体"/>
          <w:bCs/>
          <w:i w:val="0"/>
          <w:iCs w:val="0"/>
          <w:caps/>
          <w:szCs w:val="24"/>
        </w:rPr>
        <w:fldChar w:fldCharType="separate"/>
      </w:r>
      <w:r>
        <w:rPr>
          <w:rFonts w:hint="eastAsia"/>
          <w:lang w:eastAsia="zh-CN"/>
        </w:rPr>
        <w:t>2.4.5</w:t>
      </w:r>
      <w:r>
        <w:rPr>
          <w:rFonts w:hint="eastAsia"/>
          <w:lang w:val="en-US" w:eastAsia="zh-CN"/>
        </w:rPr>
        <w:t>采剥工艺</w:t>
      </w:r>
      <w:r>
        <w:tab/>
      </w:r>
      <w:r>
        <w:fldChar w:fldCharType="begin"/>
      </w:r>
      <w:r>
        <w:instrText xml:space="preserve"> PAGEREF _Toc31721 \h </w:instrText>
      </w:r>
      <w:r>
        <w:fldChar w:fldCharType="separate"/>
      </w:r>
      <w:r>
        <w:t>23</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_Toc15555 </w:instrText>
      </w:r>
      <w:r>
        <w:rPr>
          <w:rFonts w:hint="eastAsia" w:ascii="宋体" w:hAnsi="宋体" w:eastAsia="宋体" w:cs="宋体"/>
          <w:bCs/>
          <w:i w:val="0"/>
          <w:iCs w:val="0"/>
          <w:caps/>
          <w:szCs w:val="24"/>
        </w:rPr>
        <w:fldChar w:fldCharType="separate"/>
      </w:r>
      <w:r>
        <w:rPr>
          <w:rFonts w:hint="eastAsia"/>
          <w:lang w:eastAsia="zh-CN"/>
        </w:rPr>
        <w:t>2.4.</w:t>
      </w:r>
      <w:r>
        <w:rPr>
          <w:rFonts w:hint="eastAsia"/>
          <w:lang w:val="en-US" w:eastAsia="zh-CN"/>
        </w:rPr>
        <w:t>6</w:t>
      </w:r>
      <w:r>
        <w:rPr>
          <w:rFonts w:hint="eastAsia"/>
          <w:lang w:eastAsia="zh-CN"/>
        </w:rPr>
        <w:t>铲装作业</w:t>
      </w:r>
      <w:r>
        <w:tab/>
      </w:r>
      <w:r>
        <w:fldChar w:fldCharType="begin"/>
      </w:r>
      <w:r>
        <w:instrText xml:space="preserve"> PAGEREF _Toc15555 \h </w:instrText>
      </w:r>
      <w:r>
        <w:fldChar w:fldCharType="separate"/>
      </w:r>
      <w:r>
        <w:t>24</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_Toc22210 </w:instrText>
      </w:r>
      <w:r>
        <w:rPr>
          <w:rFonts w:hint="eastAsia" w:ascii="宋体" w:hAnsi="宋体" w:eastAsia="宋体" w:cs="宋体"/>
          <w:bCs/>
          <w:i w:val="0"/>
          <w:iCs w:val="0"/>
          <w:caps/>
          <w:szCs w:val="24"/>
        </w:rPr>
        <w:fldChar w:fldCharType="separate"/>
      </w:r>
      <w:r>
        <w:rPr>
          <w:rFonts w:hint="eastAsia"/>
          <w:lang w:eastAsia="zh-CN"/>
        </w:rPr>
        <w:t>2.4.</w:t>
      </w:r>
      <w:r>
        <w:rPr>
          <w:rFonts w:hint="eastAsia"/>
          <w:lang w:val="en-US" w:eastAsia="zh-CN"/>
        </w:rPr>
        <w:t>7</w:t>
      </w:r>
      <w:r>
        <w:rPr>
          <w:rFonts w:hint="eastAsia"/>
          <w:lang w:eastAsia="zh-CN"/>
        </w:rPr>
        <w:t>开拓运输系统</w:t>
      </w:r>
      <w:r>
        <w:tab/>
      </w:r>
      <w:r>
        <w:fldChar w:fldCharType="begin"/>
      </w:r>
      <w:r>
        <w:instrText xml:space="preserve"> PAGEREF _Toc22210 \h </w:instrText>
      </w:r>
      <w:r>
        <w:fldChar w:fldCharType="separate"/>
      </w:r>
      <w:r>
        <w:t>25</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_Toc24399 </w:instrText>
      </w:r>
      <w:r>
        <w:rPr>
          <w:rFonts w:hint="eastAsia" w:ascii="宋体" w:hAnsi="宋体" w:eastAsia="宋体" w:cs="宋体"/>
          <w:bCs/>
          <w:i w:val="0"/>
          <w:iCs w:val="0"/>
          <w:caps/>
          <w:szCs w:val="24"/>
        </w:rPr>
        <w:fldChar w:fldCharType="separate"/>
      </w:r>
      <w:r>
        <w:rPr>
          <w:rFonts w:hint="eastAsia"/>
          <w:lang w:eastAsia="zh-CN"/>
        </w:rPr>
        <w:t>2.4.</w:t>
      </w:r>
      <w:r>
        <w:rPr>
          <w:rFonts w:hint="eastAsia"/>
          <w:lang w:val="en-US" w:eastAsia="zh-CN"/>
        </w:rPr>
        <w:t>8</w:t>
      </w:r>
      <w:r>
        <w:rPr>
          <w:rFonts w:hint="eastAsia"/>
          <w:lang w:eastAsia="zh-CN"/>
        </w:rPr>
        <w:t>采场防排水</w:t>
      </w:r>
      <w:r>
        <w:tab/>
      </w:r>
      <w:r>
        <w:fldChar w:fldCharType="begin"/>
      </w:r>
      <w:r>
        <w:instrText xml:space="preserve"> PAGEREF _Toc24399 \h </w:instrText>
      </w:r>
      <w:r>
        <w:fldChar w:fldCharType="separate"/>
      </w:r>
      <w:r>
        <w:t>25</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_Toc15744 </w:instrText>
      </w:r>
      <w:r>
        <w:rPr>
          <w:rFonts w:hint="eastAsia" w:ascii="宋体" w:hAnsi="宋体" w:eastAsia="宋体" w:cs="宋体"/>
          <w:bCs/>
          <w:i w:val="0"/>
          <w:iCs w:val="0"/>
          <w:caps/>
          <w:szCs w:val="24"/>
        </w:rPr>
        <w:fldChar w:fldCharType="separate"/>
      </w:r>
      <w:r>
        <w:rPr>
          <w:rFonts w:hint="eastAsia"/>
          <w:lang w:eastAsia="zh-CN"/>
        </w:rPr>
        <w:t>2.4.</w:t>
      </w:r>
      <w:r>
        <w:rPr>
          <w:rFonts w:hint="eastAsia"/>
          <w:lang w:val="en-US" w:eastAsia="zh-CN"/>
        </w:rPr>
        <w:t>9</w:t>
      </w:r>
      <w:r>
        <w:rPr>
          <w:rFonts w:hint="eastAsia"/>
          <w:lang w:eastAsia="zh-CN"/>
        </w:rPr>
        <w:t>供配电</w:t>
      </w:r>
      <w:r>
        <w:tab/>
      </w:r>
      <w:r>
        <w:fldChar w:fldCharType="begin"/>
      </w:r>
      <w:r>
        <w:instrText xml:space="preserve"> PAGEREF _Toc15744 \h </w:instrText>
      </w:r>
      <w:r>
        <w:fldChar w:fldCharType="separate"/>
      </w:r>
      <w:r>
        <w:t>26</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_Toc2325 </w:instrText>
      </w:r>
      <w:r>
        <w:rPr>
          <w:rFonts w:hint="eastAsia" w:ascii="宋体" w:hAnsi="宋体" w:eastAsia="宋体" w:cs="宋体"/>
          <w:bCs/>
          <w:i w:val="0"/>
          <w:iCs w:val="0"/>
          <w:caps/>
          <w:szCs w:val="24"/>
        </w:rPr>
        <w:fldChar w:fldCharType="separate"/>
      </w:r>
      <w:r>
        <w:rPr>
          <w:lang w:eastAsia="zh-CN"/>
        </w:rPr>
        <w:t>2.4.</w:t>
      </w:r>
      <w:r>
        <w:rPr>
          <w:rFonts w:hint="eastAsia"/>
          <w:lang w:eastAsia="zh-CN"/>
        </w:rPr>
        <w:t>1</w:t>
      </w:r>
      <w:r>
        <w:rPr>
          <w:rFonts w:hint="eastAsia"/>
          <w:lang w:val="en-US" w:eastAsia="zh-CN"/>
        </w:rPr>
        <w:t>0</w:t>
      </w:r>
      <w:r>
        <w:rPr>
          <w:lang w:eastAsia="zh-CN"/>
        </w:rPr>
        <w:t>通信系统</w:t>
      </w:r>
      <w:r>
        <w:tab/>
      </w:r>
      <w:r>
        <w:fldChar w:fldCharType="begin"/>
      </w:r>
      <w:r>
        <w:instrText xml:space="preserve"> PAGEREF _Toc2325 \h </w:instrText>
      </w:r>
      <w:r>
        <w:fldChar w:fldCharType="separate"/>
      </w:r>
      <w:r>
        <w:t>26</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_Toc19146 </w:instrText>
      </w:r>
      <w:r>
        <w:rPr>
          <w:rFonts w:hint="eastAsia" w:ascii="宋体" w:hAnsi="宋体" w:eastAsia="宋体" w:cs="宋体"/>
          <w:bCs/>
          <w:i w:val="0"/>
          <w:iCs w:val="0"/>
          <w:caps/>
          <w:szCs w:val="24"/>
        </w:rPr>
        <w:fldChar w:fldCharType="separate"/>
      </w:r>
      <w:r>
        <w:rPr>
          <w:lang w:eastAsia="zh-CN"/>
        </w:rPr>
        <w:t>2.4.</w:t>
      </w:r>
      <w:r>
        <w:rPr>
          <w:rFonts w:hint="eastAsia"/>
          <w:lang w:eastAsia="zh-CN"/>
        </w:rPr>
        <w:t>1</w:t>
      </w:r>
      <w:r>
        <w:rPr>
          <w:rFonts w:hint="eastAsia"/>
          <w:lang w:val="en-US" w:eastAsia="zh-CN"/>
        </w:rPr>
        <w:t>1</w:t>
      </w:r>
      <w:r>
        <w:rPr>
          <w:lang w:eastAsia="zh-CN"/>
        </w:rPr>
        <w:t>个人安全防护</w:t>
      </w:r>
      <w:r>
        <w:tab/>
      </w:r>
      <w:r>
        <w:fldChar w:fldCharType="begin"/>
      </w:r>
      <w:r>
        <w:instrText xml:space="preserve"> PAGEREF _Toc19146 \h </w:instrText>
      </w:r>
      <w:r>
        <w:fldChar w:fldCharType="separate"/>
      </w:r>
      <w:r>
        <w:t>27</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_Toc21374 </w:instrText>
      </w:r>
      <w:r>
        <w:rPr>
          <w:rFonts w:hint="eastAsia" w:ascii="宋体" w:hAnsi="宋体" w:eastAsia="宋体" w:cs="宋体"/>
          <w:bCs/>
          <w:i w:val="0"/>
          <w:iCs w:val="0"/>
          <w:caps/>
          <w:szCs w:val="24"/>
        </w:rPr>
        <w:fldChar w:fldCharType="separate"/>
      </w:r>
      <w:r>
        <w:rPr>
          <w:lang w:eastAsia="zh-CN"/>
        </w:rPr>
        <w:t>2.4.1</w:t>
      </w:r>
      <w:r>
        <w:rPr>
          <w:rFonts w:hint="eastAsia"/>
          <w:lang w:val="en-US" w:eastAsia="zh-CN"/>
        </w:rPr>
        <w:t>2</w:t>
      </w:r>
      <w:r>
        <w:rPr>
          <w:lang w:eastAsia="zh-CN"/>
        </w:rPr>
        <w:t>安全标志</w:t>
      </w:r>
      <w:r>
        <w:tab/>
      </w:r>
      <w:r>
        <w:fldChar w:fldCharType="begin"/>
      </w:r>
      <w:r>
        <w:instrText xml:space="preserve"> PAGEREF _Toc21374 \h </w:instrText>
      </w:r>
      <w:r>
        <w:fldChar w:fldCharType="separate"/>
      </w:r>
      <w:r>
        <w:t>27</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_Toc24158 </w:instrText>
      </w:r>
      <w:r>
        <w:rPr>
          <w:rFonts w:hint="eastAsia" w:ascii="宋体" w:hAnsi="宋体" w:eastAsia="宋体" w:cs="宋体"/>
          <w:bCs/>
          <w:i w:val="0"/>
          <w:iCs w:val="0"/>
          <w:caps/>
          <w:szCs w:val="24"/>
        </w:rPr>
        <w:fldChar w:fldCharType="separate"/>
      </w:r>
      <w:r>
        <w:rPr>
          <w:lang w:eastAsia="zh-CN"/>
        </w:rPr>
        <w:t>2.4.1</w:t>
      </w:r>
      <w:r>
        <w:rPr>
          <w:rFonts w:hint="eastAsia"/>
          <w:lang w:val="en-US" w:eastAsia="zh-CN"/>
        </w:rPr>
        <w:t>3</w:t>
      </w:r>
      <w:r>
        <w:rPr>
          <w:rFonts w:hint="eastAsia"/>
          <w:lang w:eastAsia="zh-CN"/>
        </w:rPr>
        <w:t>排土场</w:t>
      </w:r>
      <w:r>
        <w:tab/>
      </w:r>
      <w:r>
        <w:fldChar w:fldCharType="begin"/>
      </w:r>
      <w:r>
        <w:instrText xml:space="preserve"> PAGEREF _Toc24158 \h </w:instrText>
      </w:r>
      <w:r>
        <w:fldChar w:fldCharType="separate"/>
      </w:r>
      <w:r>
        <w:t>27</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_Toc25461 </w:instrText>
      </w:r>
      <w:r>
        <w:rPr>
          <w:rFonts w:hint="eastAsia" w:ascii="宋体" w:hAnsi="宋体" w:eastAsia="宋体" w:cs="宋体"/>
          <w:bCs/>
          <w:i w:val="0"/>
          <w:iCs w:val="0"/>
          <w:caps/>
          <w:szCs w:val="24"/>
        </w:rPr>
        <w:fldChar w:fldCharType="separate"/>
      </w:r>
      <w:r>
        <w:rPr>
          <w:lang w:eastAsia="zh-CN"/>
        </w:rPr>
        <w:t>2.4.1</w:t>
      </w:r>
      <w:r>
        <w:rPr>
          <w:rFonts w:hint="eastAsia"/>
          <w:lang w:val="en-US" w:eastAsia="zh-CN"/>
        </w:rPr>
        <w:t>4</w:t>
      </w:r>
      <w:r>
        <w:rPr>
          <w:lang w:eastAsia="zh-CN"/>
        </w:rPr>
        <w:t>安全管理</w:t>
      </w:r>
      <w:r>
        <w:tab/>
      </w:r>
      <w:r>
        <w:fldChar w:fldCharType="begin"/>
      </w:r>
      <w:r>
        <w:instrText xml:space="preserve"> PAGEREF _Toc25461 \h </w:instrText>
      </w:r>
      <w:r>
        <w:fldChar w:fldCharType="separate"/>
      </w:r>
      <w:r>
        <w:t>28</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_Toc25849 </w:instrText>
      </w:r>
      <w:r>
        <w:rPr>
          <w:rFonts w:hint="eastAsia" w:ascii="宋体" w:hAnsi="宋体" w:eastAsia="宋体" w:cs="宋体"/>
          <w:bCs/>
          <w:i w:val="0"/>
          <w:iCs w:val="0"/>
          <w:caps/>
          <w:szCs w:val="24"/>
        </w:rPr>
        <w:fldChar w:fldCharType="separate"/>
      </w:r>
      <w:r>
        <w:rPr>
          <w:rFonts w:hint="eastAsia" w:ascii="宋体" w:hAnsi="宋体"/>
          <w:kern w:val="2"/>
          <w:szCs w:val="28"/>
          <w:highlight w:val="none"/>
          <w:lang w:eastAsia="zh-CN" w:bidi="ar-SA"/>
        </w:rPr>
        <w:t>2.4.1</w:t>
      </w:r>
      <w:r>
        <w:rPr>
          <w:rFonts w:hint="eastAsia" w:ascii="宋体" w:hAnsi="宋体"/>
          <w:kern w:val="2"/>
          <w:szCs w:val="28"/>
          <w:highlight w:val="none"/>
          <w:lang w:val="en-US" w:eastAsia="zh-CN" w:bidi="ar-SA"/>
        </w:rPr>
        <w:t>5</w:t>
      </w:r>
      <w:r>
        <w:rPr>
          <w:rFonts w:hint="eastAsia" w:ascii="宋体" w:hAnsi="宋体"/>
          <w:kern w:val="2"/>
          <w:szCs w:val="28"/>
          <w:highlight w:val="none"/>
          <w:lang w:eastAsia="zh-CN" w:bidi="ar-SA"/>
        </w:rPr>
        <w:t>现场踏勘照片</w:t>
      </w:r>
      <w:r>
        <w:tab/>
      </w:r>
      <w:r>
        <w:fldChar w:fldCharType="begin"/>
      </w:r>
      <w:r>
        <w:instrText xml:space="preserve"> PAGEREF _Toc25849 \h </w:instrText>
      </w:r>
      <w:r>
        <w:fldChar w:fldCharType="separate"/>
      </w:r>
      <w:r>
        <w:t>32</w:t>
      </w:r>
      <w:r>
        <w:fldChar w:fldCharType="end"/>
      </w:r>
      <w:r>
        <w:rPr>
          <w:rFonts w:hint="eastAsia" w:ascii="宋体" w:hAnsi="宋体" w:eastAsia="宋体" w:cs="宋体"/>
          <w:bCs/>
          <w:i w:val="0"/>
          <w:iCs w:val="0"/>
          <w:caps/>
          <w:color w:val="auto"/>
          <w:szCs w:val="24"/>
        </w:rPr>
        <w:fldChar w:fldCharType="end"/>
      </w:r>
    </w:p>
    <w:p>
      <w:pPr>
        <w:pStyle w:val="25"/>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_Toc26692 </w:instrText>
      </w:r>
      <w:r>
        <w:rPr>
          <w:rFonts w:hint="eastAsia" w:ascii="宋体" w:hAnsi="宋体" w:eastAsia="宋体" w:cs="宋体"/>
          <w:bCs/>
          <w:i w:val="0"/>
          <w:iCs w:val="0"/>
          <w:caps/>
          <w:szCs w:val="24"/>
        </w:rPr>
        <w:fldChar w:fldCharType="separate"/>
      </w:r>
      <w:r>
        <w:rPr>
          <w:rFonts w:hint="eastAsia"/>
          <w:lang w:eastAsia="zh-CN"/>
        </w:rPr>
        <w:t>第3章</w:t>
      </w:r>
      <w:r>
        <w:rPr>
          <w:rFonts w:hint="eastAsia"/>
          <w:lang w:val="en-US" w:eastAsia="zh-CN"/>
        </w:rPr>
        <w:t xml:space="preserve"> </w:t>
      </w:r>
      <w:r>
        <w:rPr>
          <w:rFonts w:hint="eastAsia"/>
          <w:lang w:eastAsia="zh-CN"/>
        </w:rPr>
        <w:t>危险、有害因素辨识与分析</w:t>
      </w:r>
      <w:r>
        <w:tab/>
      </w:r>
      <w:r>
        <w:fldChar w:fldCharType="begin"/>
      </w:r>
      <w:r>
        <w:instrText xml:space="preserve"> PAGEREF _Toc26692 \h </w:instrText>
      </w:r>
      <w:r>
        <w:fldChar w:fldCharType="separate"/>
      </w:r>
      <w:r>
        <w:t>35</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_Toc22609 </w:instrText>
      </w:r>
      <w:r>
        <w:rPr>
          <w:rFonts w:hint="eastAsia" w:ascii="宋体" w:hAnsi="宋体" w:eastAsia="宋体" w:cs="宋体"/>
          <w:bCs/>
          <w:i w:val="0"/>
          <w:iCs w:val="0"/>
          <w:caps/>
          <w:szCs w:val="24"/>
        </w:rPr>
        <w:fldChar w:fldCharType="separate"/>
      </w:r>
      <w:r>
        <w:rPr>
          <w:rFonts w:hint="eastAsia"/>
          <w:lang w:eastAsia="zh-CN"/>
        </w:rPr>
        <w:t>3.1危险、有害因素分类依据</w:t>
      </w:r>
      <w:r>
        <w:tab/>
      </w:r>
      <w:r>
        <w:fldChar w:fldCharType="begin"/>
      </w:r>
      <w:r>
        <w:instrText xml:space="preserve"> PAGEREF _Toc22609 \h </w:instrText>
      </w:r>
      <w:r>
        <w:fldChar w:fldCharType="separate"/>
      </w:r>
      <w:r>
        <w:t>35</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_Toc9741 </w:instrText>
      </w:r>
      <w:r>
        <w:rPr>
          <w:rFonts w:hint="eastAsia" w:ascii="宋体" w:hAnsi="宋体" w:eastAsia="宋体" w:cs="宋体"/>
          <w:bCs/>
          <w:i w:val="0"/>
          <w:iCs w:val="0"/>
          <w:caps/>
          <w:szCs w:val="24"/>
        </w:rPr>
        <w:fldChar w:fldCharType="separate"/>
      </w:r>
      <w:r>
        <w:rPr>
          <w:lang w:eastAsia="zh-CN"/>
        </w:rPr>
        <w:t>3.2项目涉及的危险、有害因素辨识与分析</w:t>
      </w:r>
      <w:r>
        <w:tab/>
      </w:r>
      <w:r>
        <w:fldChar w:fldCharType="begin"/>
      </w:r>
      <w:r>
        <w:instrText xml:space="preserve"> PAGEREF _Toc9741 \h </w:instrText>
      </w:r>
      <w:r>
        <w:fldChar w:fldCharType="separate"/>
      </w:r>
      <w:r>
        <w:t>35</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_Toc33 </w:instrText>
      </w:r>
      <w:r>
        <w:rPr>
          <w:rFonts w:hint="eastAsia" w:ascii="宋体" w:hAnsi="宋体" w:eastAsia="宋体" w:cs="宋体"/>
          <w:bCs/>
          <w:i w:val="0"/>
          <w:iCs w:val="0"/>
          <w:caps/>
          <w:szCs w:val="24"/>
        </w:rPr>
        <w:fldChar w:fldCharType="separate"/>
      </w:r>
      <w:r>
        <w:rPr>
          <w:rFonts w:hint="eastAsia"/>
          <w:lang w:eastAsia="zh-CN"/>
        </w:rPr>
        <w:t>3.2.1总平面布置危险有害因素的辨识与分析</w:t>
      </w:r>
      <w:r>
        <w:tab/>
      </w:r>
      <w:r>
        <w:fldChar w:fldCharType="begin"/>
      </w:r>
      <w:r>
        <w:instrText xml:space="preserve"> PAGEREF _Toc33 \h </w:instrText>
      </w:r>
      <w:r>
        <w:fldChar w:fldCharType="separate"/>
      </w:r>
      <w:r>
        <w:t>35</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_Toc4412 </w:instrText>
      </w:r>
      <w:r>
        <w:rPr>
          <w:rFonts w:hint="eastAsia" w:ascii="宋体" w:hAnsi="宋体" w:eastAsia="宋体" w:cs="宋体"/>
          <w:bCs/>
          <w:i w:val="0"/>
          <w:iCs w:val="0"/>
          <w:caps/>
          <w:szCs w:val="24"/>
        </w:rPr>
        <w:fldChar w:fldCharType="separate"/>
      </w:r>
      <w:r>
        <w:rPr>
          <w:lang w:eastAsia="zh-CN"/>
        </w:rPr>
        <w:t>3.2.</w:t>
      </w:r>
      <w:r>
        <w:rPr>
          <w:rFonts w:hint="eastAsia"/>
          <w:lang w:eastAsia="zh-CN"/>
        </w:rPr>
        <w:t>2</w:t>
      </w:r>
      <w:r>
        <w:rPr>
          <w:lang w:eastAsia="zh-CN"/>
        </w:rPr>
        <w:t>矿山生产过程中危险、有害因素</w:t>
      </w:r>
      <w:r>
        <w:tab/>
      </w:r>
      <w:r>
        <w:fldChar w:fldCharType="begin"/>
      </w:r>
      <w:r>
        <w:instrText xml:space="preserve"> PAGEREF _Toc4412 \h </w:instrText>
      </w:r>
      <w:r>
        <w:fldChar w:fldCharType="separate"/>
      </w:r>
      <w:r>
        <w:t>37</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_Toc1112 </w:instrText>
      </w:r>
      <w:r>
        <w:rPr>
          <w:rFonts w:hint="eastAsia" w:ascii="宋体" w:hAnsi="宋体" w:eastAsia="宋体" w:cs="宋体"/>
          <w:bCs/>
          <w:i w:val="0"/>
          <w:iCs w:val="0"/>
          <w:caps/>
          <w:szCs w:val="24"/>
        </w:rPr>
        <w:fldChar w:fldCharType="separate"/>
      </w:r>
      <w:r>
        <w:rPr>
          <w:rFonts w:hint="eastAsia"/>
          <w:lang w:eastAsia="zh-CN"/>
        </w:rPr>
        <w:t>3.</w:t>
      </w:r>
      <w:r>
        <w:rPr>
          <w:rFonts w:hint="eastAsia"/>
          <w:lang w:val="en-US" w:eastAsia="zh-CN"/>
        </w:rPr>
        <w:t>2</w:t>
      </w:r>
      <w:r>
        <w:rPr>
          <w:rFonts w:hint="eastAsia"/>
          <w:lang w:eastAsia="zh-CN"/>
        </w:rPr>
        <w:t>.</w:t>
      </w:r>
      <w:r>
        <w:rPr>
          <w:rFonts w:hint="eastAsia"/>
          <w:lang w:val="en-US" w:eastAsia="zh-CN"/>
        </w:rPr>
        <w:t>3</w:t>
      </w:r>
      <w:r>
        <w:rPr>
          <w:rFonts w:hint="eastAsia"/>
          <w:lang w:eastAsia="zh-CN"/>
        </w:rPr>
        <w:t>公辅设施危险有害因素辨识与分析</w:t>
      </w:r>
      <w:r>
        <w:tab/>
      </w:r>
      <w:r>
        <w:fldChar w:fldCharType="begin"/>
      </w:r>
      <w:r>
        <w:instrText xml:space="preserve"> PAGEREF _Toc1112 \h </w:instrText>
      </w:r>
      <w:r>
        <w:fldChar w:fldCharType="separate"/>
      </w:r>
      <w:r>
        <w:t>42</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_Toc27245 </w:instrText>
      </w:r>
      <w:r>
        <w:rPr>
          <w:rFonts w:hint="eastAsia" w:ascii="宋体" w:hAnsi="宋体" w:eastAsia="宋体" w:cs="宋体"/>
          <w:bCs/>
          <w:i w:val="0"/>
          <w:iCs w:val="0"/>
          <w:caps/>
          <w:szCs w:val="24"/>
        </w:rPr>
        <w:fldChar w:fldCharType="separate"/>
      </w:r>
      <w:r>
        <w:rPr>
          <w:rFonts w:hint="eastAsia"/>
          <w:lang w:eastAsia="zh-CN"/>
        </w:rPr>
        <w:t>3.</w:t>
      </w:r>
      <w:r>
        <w:rPr>
          <w:rFonts w:hint="eastAsia"/>
          <w:lang w:val="en-US" w:eastAsia="zh-CN"/>
        </w:rPr>
        <w:t>2</w:t>
      </w:r>
      <w:r>
        <w:rPr>
          <w:rFonts w:hint="eastAsia"/>
          <w:lang w:eastAsia="zh-CN"/>
        </w:rPr>
        <w:t>.</w:t>
      </w:r>
      <w:r>
        <w:rPr>
          <w:rFonts w:hint="eastAsia"/>
          <w:lang w:val="en-US" w:eastAsia="zh-CN"/>
        </w:rPr>
        <w:t>4</w:t>
      </w:r>
      <w:r>
        <w:rPr>
          <w:rFonts w:hint="eastAsia"/>
          <w:lang w:eastAsia="zh-CN"/>
        </w:rPr>
        <w:t>矿山安全管理危险、有害因素</w:t>
      </w:r>
      <w:r>
        <w:tab/>
      </w:r>
      <w:r>
        <w:fldChar w:fldCharType="begin"/>
      </w:r>
      <w:r>
        <w:instrText xml:space="preserve"> PAGEREF _Toc27245 \h </w:instrText>
      </w:r>
      <w:r>
        <w:fldChar w:fldCharType="separate"/>
      </w:r>
      <w:r>
        <w:t>44</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_Toc8673 </w:instrText>
      </w:r>
      <w:r>
        <w:rPr>
          <w:rFonts w:hint="eastAsia" w:ascii="宋体" w:hAnsi="宋体" w:eastAsia="宋体" w:cs="宋体"/>
          <w:bCs/>
          <w:i w:val="0"/>
          <w:iCs w:val="0"/>
          <w:caps/>
          <w:szCs w:val="24"/>
        </w:rPr>
        <w:fldChar w:fldCharType="separate"/>
      </w:r>
      <w:r>
        <w:rPr>
          <w:rFonts w:hint="eastAsia"/>
          <w:lang w:eastAsia="zh-CN"/>
        </w:rPr>
        <w:t>3.</w:t>
      </w:r>
      <w:r>
        <w:rPr>
          <w:rFonts w:hint="eastAsia"/>
          <w:lang w:val="en-US" w:eastAsia="zh-CN"/>
        </w:rPr>
        <w:t>2</w:t>
      </w:r>
      <w:r>
        <w:rPr>
          <w:rFonts w:hint="eastAsia"/>
          <w:lang w:eastAsia="zh-CN"/>
        </w:rPr>
        <w:t>.</w:t>
      </w:r>
      <w:r>
        <w:rPr>
          <w:rFonts w:hint="eastAsia"/>
          <w:lang w:val="en-US" w:eastAsia="zh-CN"/>
        </w:rPr>
        <w:t>5</w:t>
      </w:r>
      <w:r>
        <w:rPr>
          <w:rFonts w:hint="eastAsia"/>
          <w:lang w:eastAsia="zh-CN"/>
        </w:rPr>
        <w:t>主要危险、有害因素分布汇总</w:t>
      </w:r>
      <w:r>
        <w:tab/>
      </w:r>
      <w:r>
        <w:fldChar w:fldCharType="begin"/>
      </w:r>
      <w:r>
        <w:instrText xml:space="preserve"> PAGEREF _Toc8673 \h </w:instrText>
      </w:r>
      <w:r>
        <w:fldChar w:fldCharType="separate"/>
      </w:r>
      <w:r>
        <w:t>45</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_Toc1688 </w:instrText>
      </w:r>
      <w:r>
        <w:rPr>
          <w:rFonts w:hint="eastAsia" w:ascii="宋体" w:hAnsi="宋体" w:eastAsia="宋体" w:cs="宋体"/>
          <w:bCs/>
          <w:i w:val="0"/>
          <w:iCs w:val="0"/>
          <w:caps/>
          <w:szCs w:val="24"/>
        </w:rPr>
        <w:fldChar w:fldCharType="separate"/>
      </w:r>
      <w:r>
        <w:rPr>
          <w:rFonts w:hint="eastAsia"/>
        </w:rPr>
        <w:t>3.</w:t>
      </w:r>
      <w:r>
        <w:rPr>
          <w:rFonts w:hint="eastAsia"/>
          <w:lang w:val="en-US" w:eastAsia="zh-CN"/>
        </w:rPr>
        <w:t>3</w:t>
      </w:r>
      <w:r>
        <w:rPr>
          <w:rFonts w:hint="eastAsia"/>
        </w:rPr>
        <w:t>主要危险、有害物质辨识与分析</w:t>
      </w:r>
      <w:r>
        <w:tab/>
      </w:r>
      <w:r>
        <w:fldChar w:fldCharType="begin"/>
      </w:r>
      <w:r>
        <w:instrText xml:space="preserve"> PAGEREF _Toc1688 \h </w:instrText>
      </w:r>
      <w:r>
        <w:fldChar w:fldCharType="separate"/>
      </w:r>
      <w:r>
        <w:t>46</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_Toc7850 </w:instrText>
      </w:r>
      <w:r>
        <w:rPr>
          <w:rFonts w:hint="eastAsia" w:ascii="宋体" w:hAnsi="宋体" w:eastAsia="宋体" w:cs="宋体"/>
          <w:bCs/>
          <w:i w:val="0"/>
          <w:iCs w:val="0"/>
          <w:caps/>
          <w:szCs w:val="24"/>
        </w:rPr>
        <w:fldChar w:fldCharType="separate"/>
      </w:r>
      <w:r>
        <w:rPr>
          <w:rFonts w:hint="eastAsia"/>
        </w:rPr>
        <w:t>3.</w:t>
      </w:r>
      <w:r>
        <w:rPr>
          <w:rFonts w:hint="eastAsia"/>
          <w:lang w:val="en-US" w:eastAsia="zh-CN"/>
        </w:rPr>
        <w:t>4</w:t>
      </w:r>
      <w:r>
        <w:rPr>
          <w:rFonts w:hint="eastAsia"/>
        </w:rPr>
        <w:t>重大危险源辨识</w:t>
      </w:r>
      <w:r>
        <w:tab/>
      </w:r>
      <w:r>
        <w:fldChar w:fldCharType="begin"/>
      </w:r>
      <w:r>
        <w:instrText xml:space="preserve"> PAGEREF _Toc7850 \h </w:instrText>
      </w:r>
      <w:r>
        <w:fldChar w:fldCharType="separate"/>
      </w:r>
      <w:r>
        <w:t>46</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_Toc3456 </w:instrText>
      </w:r>
      <w:r>
        <w:rPr>
          <w:rFonts w:hint="eastAsia" w:ascii="宋体" w:hAnsi="宋体" w:eastAsia="宋体" w:cs="宋体"/>
          <w:bCs/>
          <w:i w:val="0"/>
          <w:iCs w:val="0"/>
          <w:caps/>
          <w:szCs w:val="24"/>
        </w:rPr>
        <w:fldChar w:fldCharType="separate"/>
      </w:r>
      <w:r>
        <w:rPr>
          <w:rFonts w:hint="eastAsia"/>
        </w:rPr>
        <w:t>3.</w:t>
      </w:r>
      <w:r>
        <w:rPr>
          <w:rFonts w:hint="eastAsia"/>
          <w:lang w:val="en-US" w:eastAsia="zh-CN"/>
        </w:rPr>
        <w:t>4</w:t>
      </w:r>
      <w:r>
        <w:rPr>
          <w:rFonts w:hint="eastAsia"/>
        </w:rPr>
        <w:t>.1方法介绍</w:t>
      </w:r>
      <w:r>
        <w:tab/>
      </w:r>
      <w:r>
        <w:fldChar w:fldCharType="begin"/>
      </w:r>
      <w:r>
        <w:instrText xml:space="preserve"> PAGEREF _Toc3456 \h </w:instrText>
      </w:r>
      <w:r>
        <w:fldChar w:fldCharType="separate"/>
      </w:r>
      <w:r>
        <w:t>46</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_Toc16074 </w:instrText>
      </w:r>
      <w:r>
        <w:rPr>
          <w:rFonts w:hint="eastAsia" w:ascii="宋体" w:hAnsi="宋体" w:eastAsia="宋体" w:cs="宋体"/>
          <w:bCs/>
          <w:i w:val="0"/>
          <w:iCs w:val="0"/>
          <w:caps/>
          <w:szCs w:val="24"/>
        </w:rPr>
        <w:fldChar w:fldCharType="separate"/>
      </w:r>
      <w:r>
        <w:rPr>
          <w:rFonts w:hint="eastAsia"/>
        </w:rPr>
        <w:t>3.</w:t>
      </w:r>
      <w:r>
        <w:rPr>
          <w:rFonts w:hint="eastAsia"/>
          <w:lang w:val="en-US" w:eastAsia="zh-CN"/>
        </w:rPr>
        <w:t>4</w:t>
      </w:r>
      <w:r>
        <w:rPr>
          <w:rFonts w:hint="eastAsia"/>
        </w:rPr>
        <w:t>.2重大危险源辨识</w:t>
      </w:r>
      <w:r>
        <w:tab/>
      </w:r>
      <w:r>
        <w:fldChar w:fldCharType="begin"/>
      </w:r>
      <w:r>
        <w:instrText xml:space="preserve"> PAGEREF _Toc16074 \h </w:instrText>
      </w:r>
      <w:r>
        <w:fldChar w:fldCharType="separate"/>
      </w:r>
      <w:r>
        <w:t>47</w:t>
      </w:r>
      <w:r>
        <w:fldChar w:fldCharType="end"/>
      </w:r>
      <w:r>
        <w:rPr>
          <w:rFonts w:hint="eastAsia" w:ascii="宋体" w:hAnsi="宋体" w:eastAsia="宋体" w:cs="宋体"/>
          <w:bCs/>
          <w:i w:val="0"/>
          <w:iCs w:val="0"/>
          <w:caps/>
          <w:color w:val="auto"/>
          <w:szCs w:val="24"/>
        </w:rPr>
        <w:fldChar w:fldCharType="end"/>
      </w:r>
    </w:p>
    <w:p>
      <w:pPr>
        <w:pStyle w:val="25"/>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_Toc2232 </w:instrText>
      </w:r>
      <w:r>
        <w:rPr>
          <w:rFonts w:hint="eastAsia" w:ascii="宋体" w:hAnsi="宋体" w:eastAsia="宋体" w:cs="宋体"/>
          <w:bCs/>
          <w:i w:val="0"/>
          <w:iCs w:val="0"/>
          <w:caps/>
          <w:szCs w:val="24"/>
        </w:rPr>
        <w:fldChar w:fldCharType="separate"/>
      </w:r>
      <w:r>
        <w:rPr>
          <w:rFonts w:hint="eastAsia"/>
          <w:lang w:eastAsia="zh-CN"/>
        </w:rPr>
        <w:t>第4章</w:t>
      </w:r>
      <w:r>
        <w:rPr>
          <w:rFonts w:hint="eastAsia"/>
          <w:lang w:val="en-US" w:eastAsia="zh-CN"/>
        </w:rPr>
        <w:t xml:space="preserve">  </w:t>
      </w:r>
      <w:r>
        <w:rPr>
          <w:rFonts w:hint="eastAsia"/>
          <w:lang w:eastAsia="zh-CN"/>
        </w:rPr>
        <w:t>定性定量评价</w:t>
      </w:r>
      <w:r>
        <w:tab/>
      </w:r>
      <w:r>
        <w:fldChar w:fldCharType="begin"/>
      </w:r>
      <w:r>
        <w:instrText xml:space="preserve"> PAGEREF _Toc2232 \h </w:instrText>
      </w:r>
      <w:r>
        <w:fldChar w:fldCharType="separate"/>
      </w:r>
      <w:r>
        <w:t>48</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_Toc19450 </w:instrText>
      </w:r>
      <w:r>
        <w:rPr>
          <w:rFonts w:hint="eastAsia" w:ascii="宋体" w:hAnsi="宋体" w:eastAsia="宋体" w:cs="宋体"/>
          <w:bCs/>
          <w:i w:val="0"/>
          <w:iCs w:val="0"/>
          <w:caps/>
          <w:szCs w:val="24"/>
        </w:rPr>
        <w:fldChar w:fldCharType="separate"/>
      </w:r>
      <w:r>
        <w:rPr>
          <w:rFonts w:hint="eastAsia"/>
          <w:lang w:eastAsia="zh-CN"/>
        </w:rPr>
        <w:t>4.1评价单元的划分和评价方法的选择</w:t>
      </w:r>
      <w:r>
        <w:tab/>
      </w:r>
      <w:r>
        <w:fldChar w:fldCharType="begin"/>
      </w:r>
      <w:r>
        <w:instrText xml:space="preserve"> PAGEREF _Toc19450 \h </w:instrText>
      </w:r>
      <w:r>
        <w:fldChar w:fldCharType="separate"/>
      </w:r>
      <w:r>
        <w:t>48</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_Toc12223 </w:instrText>
      </w:r>
      <w:r>
        <w:rPr>
          <w:rFonts w:hint="eastAsia" w:ascii="宋体" w:hAnsi="宋体" w:eastAsia="宋体" w:cs="宋体"/>
          <w:bCs/>
          <w:i w:val="0"/>
          <w:iCs w:val="0"/>
          <w:caps/>
          <w:szCs w:val="24"/>
        </w:rPr>
        <w:fldChar w:fldCharType="separate"/>
      </w:r>
      <w:r>
        <w:rPr>
          <w:rFonts w:hint="eastAsia"/>
          <w:lang w:eastAsia="zh-CN"/>
        </w:rPr>
        <w:t>4.1.1评价单元划分</w:t>
      </w:r>
      <w:r>
        <w:tab/>
      </w:r>
      <w:r>
        <w:fldChar w:fldCharType="begin"/>
      </w:r>
      <w:r>
        <w:instrText xml:space="preserve"> PAGEREF _Toc12223 \h </w:instrText>
      </w:r>
      <w:r>
        <w:fldChar w:fldCharType="separate"/>
      </w:r>
      <w:r>
        <w:t>48</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_Toc2497 </w:instrText>
      </w:r>
      <w:r>
        <w:rPr>
          <w:rFonts w:hint="eastAsia" w:ascii="宋体" w:hAnsi="宋体" w:eastAsia="宋体" w:cs="宋体"/>
          <w:bCs/>
          <w:i w:val="0"/>
          <w:iCs w:val="0"/>
          <w:caps/>
          <w:szCs w:val="24"/>
        </w:rPr>
        <w:fldChar w:fldCharType="separate"/>
      </w:r>
      <w:r>
        <w:rPr>
          <w:rFonts w:hint="eastAsia"/>
          <w:lang w:eastAsia="zh-CN"/>
        </w:rPr>
        <w:t>4.1.2评价方法的选择</w:t>
      </w:r>
      <w:r>
        <w:tab/>
      </w:r>
      <w:r>
        <w:fldChar w:fldCharType="begin"/>
      </w:r>
      <w:r>
        <w:instrText xml:space="preserve"> PAGEREF _Toc2497 \h </w:instrText>
      </w:r>
      <w:r>
        <w:fldChar w:fldCharType="separate"/>
      </w:r>
      <w:r>
        <w:t>49</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_Toc508 </w:instrText>
      </w:r>
      <w:r>
        <w:rPr>
          <w:rFonts w:hint="eastAsia" w:ascii="宋体" w:hAnsi="宋体" w:eastAsia="宋体" w:cs="宋体"/>
          <w:bCs/>
          <w:i w:val="0"/>
          <w:iCs w:val="0"/>
          <w:caps/>
          <w:szCs w:val="24"/>
        </w:rPr>
        <w:fldChar w:fldCharType="separate"/>
      </w:r>
      <w:r>
        <w:rPr>
          <w:rFonts w:hint="eastAsia"/>
          <w:lang w:eastAsia="zh-CN"/>
        </w:rPr>
        <w:t>4.1.3各单元采用的评价方法</w:t>
      </w:r>
      <w:r>
        <w:tab/>
      </w:r>
      <w:r>
        <w:fldChar w:fldCharType="begin"/>
      </w:r>
      <w:r>
        <w:instrText xml:space="preserve"> PAGEREF _Toc508 \h </w:instrText>
      </w:r>
      <w:r>
        <w:fldChar w:fldCharType="separate"/>
      </w:r>
      <w:r>
        <w:t>50</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_Toc1018 </w:instrText>
      </w:r>
      <w:r>
        <w:rPr>
          <w:rFonts w:hint="eastAsia" w:ascii="宋体" w:hAnsi="宋体" w:eastAsia="宋体" w:cs="宋体"/>
          <w:bCs/>
          <w:i w:val="0"/>
          <w:iCs w:val="0"/>
          <w:caps/>
          <w:szCs w:val="24"/>
        </w:rPr>
        <w:fldChar w:fldCharType="separate"/>
      </w:r>
      <w:r>
        <w:rPr>
          <w:rFonts w:hint="eastAsia"/>
          <w:lang w:eastAsia="zh-CN"/>
        </w:rPr>
        <w:t>4.2总平面布置单元</w:t>
      </w:r>
      <w:r>
        <w:tab/>
      </w:r>
      <w:r>
        <w:fldChar w:fldCharType="begin"/>
      </w:r>
      <w:r>
        <w:instrText xml:space="preserve"> PAGEREF _Toc1018 \h </w:instrText>
      </w:r>
      <w:r>
        <w:fldChar w:fldCharType="separate"/>
      </w:r>
      <w:r>
        <w:t>51</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_Toc1444 </w:instrText>
      </w:r>
      <w:r>
        <w:rPr>
          <w:rFonts w:hint="eastAsia" w:ascii="宋体" w:hAnsi="宋体" w:eastAsia="宋体" w:cs="宋体"/>
          <w:bCs/>
          <w:i w:val="0"/>
          <w:iCs w:val="0"/>
          <w:caps/>
          <w:szCs w:val="24"/>
        </w:rPr>
        <w:fldChar w:fldCharType="separate"/>
      </w:r>
      <w:r>
        <w:rPr>
          <w:rFonts w:hint="eastAsia"/>
          <w:lang w:eastAsia="zh-CN"/>
        </w:rPr>
        <w:t>4.2.1总平面布置安全检查表</w:t>
      </w:r>
      <w:r>
        <w:tab/>
      </w:r>
      <w:r>
        <w:fldChar w:fldCharType="begin"/>
      </w:r>
      <w:r>
        <w:instrText xml:space="preserve"> PAGEREF _Toc1444 \h </w:instrText>
      </w:r>
      <w:r>
        <w:fldChar w:fldCharType="separate"/>
      </w:r>
      <w:r>
        <w:t>51</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_Toc21156 </w:instrText>
      </w:r>
      <w:r>
        <w:rPr>
          <w:rFonts w:hint="eastAsia" w:ascii="宋体" w:hAnsi="宋体" w:eastAsia="宋体" w:cs="宋体"/>
          <w:bCs/>
          <w:i w:val="0"/>
          <w:iCs w:val="0"/>
          <w:caps/>
          <w:szCs w:val="24"/>
        </w:rPr>
        <w:fldChar w:fldCharType="separate"/>
      </w:r>
      <w:r>
        <w:rPr>
          <w:rFonts w:hint="eastAsia"/>
          <w:lang w:eastAsia="zh-CN"/>
        </w:rPr>
        <w:t>4.2.2周边环境影响分析及现状与设计吻合性评述</w:t>
      </w:r>
      <w:r>
        <w:tab/>
      </w:r>
      <w:r>
        <w:fldChar w:fldCharType="begin"/>
      </w:r>
      <w:r>
        <w:instrText xml:space="preserve"> PAGEREF _Toc21156 \h </w:instrText>
      </w:r>
      <w:r>
        <w:fldChar w:fldCharType="separate"/>
      </w:r>
      <w:r>
        <w:t>53</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_Toc31446 </w:instrText>
      </w:r>
      <w:r>
        <w:rPr>
          <w:rFonts w:hint="eastAsia" w:ascii="宋体" w:hAnsi="宋体" w:eastAsia="宋体" w:cs="宋体"/>
          <w:bCs/>
          <w:i w:val="0"/>
          <w:iCs w:val="0"/>
          <w:caps/>
          <w:szCs w:val="24"/>
        </w:rPr>
        <w:fldChar w:fldCharType="separate"/>
      </w:r>
      <w:r>
        <w:rPr>
          <w:rFonts w:hint="eastAsia"/>
          <w:lang w:eastAsia="zh-CN"/>
        </w:rPr>
        <w:t>4.2.3单元小结</w:t>
      </w:r>
      <w:r>
        <w:tab/>
      </w:r>
      <w:r>
        <w:fldChar w:fldCharType="begin"/>
      </w:r>
      <w:r>
        <w:instrText xml:space="preserve"> PAGEREF _Toc31446 \h </w:instrText>
      </w:r>
      <w:r>
        <w:fldChar w:fldCharType="separate"/>
      </w:r>
      <w:r>
        <w:t>54</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_Toc1310 </w:instrText>
      </w:r>
      <w:r>
        <w:rPr>
          <w:rFonts w:hint="eastAsia" w:ascii="宋体" w:hAnsi="宋体" w:eastAsia="宋体" w:cs="宋体"/>
          <w:bCs/>
          <w:i w:val="0"/>
          <w:iCs w:val="0"/>
          <w:caps/>
          <w:szCs w:val="24"/>
        </w:rPr>
        <w:fldChar w:fldCharType="separate"/>
      </w:r>
      <w:r>
        <w:rPr>
          <w:rFonts w:hint="eastAsia"/>
          <w:lang w:eastAsia="zh-CN"/>
        </w:rPr>
        <w:t>4.3开拓运输系统单元</w:t>
      </w:r>
      <w:r>
        <w:tab/>
      </w:r>
      <w:r>
        <w:fldChar w:fldCharType="begin"/>
      </w:r>
      <w:r>
        <w:instrText xml:space="preserve"> PAGEREF _Toc1310 \h </w:instrText>
      </w:r>
      <w:r>
        <w:fldChar w:fldCharType="separate"/>
      </w:r>
      <w:r>
        <w:t>54</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_Toc3170 </w:instrText>
      </w:r>
      <w:r>
        <w:rPr>
          <w:rFonts w:hint="eastAsia" w:ascii="宋体" w:hAnsi="宋体" w:eastAsia="宋体" w:cs="宋体"/>
          <w:bCs/>
          <w:i w:val="0"/>
          <w:iCs w:val="0"/>
          <w:caps/>
          <w:szCs w:val="24"/>
        </w:rPr>
        <w:fldChar w:fldCharType="separate"/>
      </w:r>
      <w:r>
        <w:rPr>
          <w:rFonts w:hint="eastAsia"/>
          <w:lang w:eastAsia="zh-CN"/>
        </w:rPr>
        <w:t>4.3.1开拓运输系统安全检查表</w:t>
      </w:r>
      <w:r>
        <w:tab/>
      </w:r>
      <w:r>
        <w:fldChar w:fldCharType="begin"/>
      </w:r>
      <w:r>
        <w:instrText xml:space="preserve"> PAGEREF _Toc3170 \h </w:instrText>
      </w:r>
      <w:r>
        <w:fldChar w:fldCharType="separate"/>
      </w:r>
      <w:r>
        <w:t>54</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_Toc14385 </w:instrText>
      </w:r>
      <w:r>
        <w:rPr>
          <w:rFonts w:hint="eastAsia" w:ascii="宋体" w:hAnsi="宋体" w:eastAsia="宋体" w:cs="宋体"/>
          <w:bCs/>
          <w:i w:val="0"/>
          <w:iCs w:val="0"/>
          <w:caps/>
          <w:szCs w:val="24"/>
        </w:rPr>
        <w:fldChar w:fldCharType="separate"/>
      </w:r>
      <w:r>
        <w:rPr>
          <w:rFonts w:hint="eastAsia"/>
          <w:lang w:eastAsia="zh-CN"/>
        </w:rPr>
        <w:t>4.3.2现状与设计吻合性分析</w:t>
      </w:r>
      <w:r>
        <w:tab/>
      </w:r>
      <w:r>
        <w:fldChar w:fldCharType="begin"/>
      </w:r>
      <w:r>
        <w:instrText xml:space="preserve"> PAGEREF _Toc14385 \h </w:instrText>
      </w:r>
      <w:r>
        <w:fldChar w:fldCharType="separate"/>
      </w:r>
      <w:r>
        <w:t>55</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_Toc5155 </w:instrText>
      </w:r>
      <w:r>
        <w:rPr>
          <w:rFonts w:hint="eastAsia" w:ascii="宋体" w:hAnsi="宋体" w:eastAsia="宋体" w:cs="宋体"/>
          <w:bCs/>
          <w:i w:val="0"/>
          <w:iCs w:val="0"/>
          <w:caps/>
          <w:szCs w:val="24"/>
        </w:rPr>
        <w:fldChar w:fldCharType="separate"/>
      </w:r>
      <w:r>
        <w:rPr>
          <w:rFonts w:hint="eastAsia"/>
        </w:rPr>
        <w:t>4.3.3单元存在问题及对策措施</w:t>
      </w:r>
      <w:r>
        <w:tab/>
      </w:r>
      <w:r>
        <w:fldChar w:fldCharType="begin"/>
      </w:r>
      <w:r>
        <w:instrText xml:space="preserve"> PAGEREF _Toc5155 \h </w:instrText>
      </w:r>
      <w:r>
        <w:fldChar w:fldCharType="separate"/>
      </w:r>
      <w:r>
        <w:t>56</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_Toc13730 </w:instrText>
      </w:r>
      <w:r>
        <w:rPr>
          <w:rFonts w:hint="eastAsia" w:ascii="宋体" w:hAnsi="宋体" w:eastAsia="宋体" w:cs="宋体"/>
          <w:bCs/>
          <w:i w:val="0"/>
          <w:iCs w:val="0"/>
          <w:caps/>
          <w:szCs w:val="24"/>
        </w:rPr>
        <w:fldChar w:fldCharType="separate"/>
      </w:r>
      <w:r>
        <w:rPr>
          <w:rFonts w:hint="eastAsia"/>
          <w:lang w:eastAsia="zh-CN"/>
        </w:rPr>
        <w:t>4.3.4单元小结</w:t>
      </w:r>
      <w:r>
        <w:tab/>
      </w:r>
      <w:r>
        <w:fldChar w:fldCharType="begin"/>
      </w:r>
      <w:r>
        <w:instrText xml:space="preserve"> PAGEREF _Toc13730 \h </w:instrText>
      </w:r>
      <w:r>
        <w:fldChar w:fldCharType="separate"/>
      </w:r>
      <w:r>
        <w:t>56</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_Toc30419 </w:instrText>
      </w:r>
      <w:r>
        <w:rPr>
          <w:rFonts w:hint="eastAsia" w:ascii="宋体" w:hAnsi="宋体" w:eastAsia="宋体" w:cs="宋体"/>
          <w:bCs/>
          <w:i w:val="0"/>
          <w:iCs w:val="0"/>
          <w:caps/>
          <w:szCs w:val="24"/>
        </w:rPr>
        <w:fldChar w:fldCharType="separate"/>
      </w:r>
      <w:r>
        <w:rPr>
          <w:rFonts w:hint="eastAsia"/>
          <w:lang w:eastAsia="zh-CN"/>
        </w:rPr>
        <w:t>4.4采剥单元</w:t>
      </w:r>
      <w:r>
        <w:tab/>
      </w:r>
      <w:r>
        <w:fldChar w:fldCharType="begin"/>
      </w:r>
      <w:r>
        <w:instrText xml:space="preserve"> PAGEREF _Toc30419 \h </w:instrText>
      </w:r>
      <w:r>
        <w:fldChar w:fldCharType="separate"/>
      </w:r>
      <w:r>
        <w:t>56</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_Toc12579 </w:instrText>
      </w:r>
      <w:r>
        <w:rPr>
          <w:rFonts w:hint="eastAsia" w:ascii="宋体" w:hAnsi="宋体" w:eastAsia="宋体" w:cs="宋体"/>
          <w:bCs/>
          <w:i w:val="0"/>
          <w:iCs w:val="0"/>
          <w:caps/>
          <w:szCs w:val="24"/>
        </w:rPr>
        <w:fldChar w:fldCharType="separate"/>
      </w:r>
      <w:r>
        <w:rPr>
          <w:rFonts w:hint="eastAsia"/>
          <w:lang w:eastAsia="zh-CN"/>
        </w:rPr>
        <w:t>4.4.1露天采场子单元</w:t>
      </w:r>
      <w:r>
        <w:tab/>
      </w:r>
      <w:r>
        <w:fldChar w:fldCharType="begin"/>
      </w:r>
      <w:r>
        <w:instrText xml:space="preserve"> PAGEREF _Toc12579 \h </w:instrText>
      </w:r>
      <w:r>
        <w:fldChar w:fldCharType="separate"/>
      </w:r>
      <w:r>
        <w:t>56</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_Toc31675 </w:instrText>
      </w:r>
      <w:r>
        <w:rPr>
          <w:rFonts w:hint="eastAsia" w:ascii="宋体" w:hAnsi="宋体" w:eastAsia="宋体" w:cs="宋体"/>
          <w:bCs/>
          <w:i w:val="0"/>
          <w:iCs w:val="0"/>
          <w:caps/>
          <w:szCs w:val="24"/>
        </w:rPr>
        <w:fldChar w:fldCharType="separate"/>
      </w:r>
      <w:r>
        <w:rPr>
          <w:rFonts w:hint="eastAsia"/>
        </w:rPr>
        <w:t>4.4.</w:t>
      </w:r>
      <w:r>
        <w:rPr>
          <w:rFonts w:hint="eastAsia"/>
          <w:lang w:val="en-US" w:eastAsia="zh-CN"/>
        </w:rPr>
        <w:t>2</w:t>
      </w:r>
      <w:r>
        <w:rPr>
          <w:rFonts w:hint="eastAsia"/>
        </w:rPr>
        <w:t>铲装作业子单元</w:t>
      </w:r>
      <w:r>
        <w:tab/>
      </w:r>
      <w:r>
        <w:fldChar w:fldCharType="begin"/>
      </w:r>
      <w:r>
        <w:instrText xml:space="preserve"> PAGEREF _Toc31675 \h </w:instrText>
      </w:r>
      <w:r>
        <w:fldChar w:fldCharType="separate"/>
      </w:r>
      <w:r>
        <w:t>59</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_Toc5582 </w:instrText>
      </w:r>
      <w:r>
        <w:rPr>
          <w:rFonts w:hint="eastAsia" w:ascii="宋体" w:hAnsi="宋体" w:eastAsia="宋体" w:cs="宋体"/>
          <w:bCs/>
          <w:i w:val="0"/>
          <w:iCs w:val="0"/>
          <w:caps/>
          <w:szCs w:val="24"/>
        </w:rPr>
        <w:fldChar w:fldCharType="separate"/>
      </w:r>
      <w:r>
        <w:rPr>
          <w:rFonts w:hint="eastAsia"/>
          <w:lang w:eastAsia="zh-CN"/>
        </w:rPr>
        <w:t>4.5采场防排水系统单元</w:t>
      </w:r>
      <w:r>
        <w:tab/>
      </w:r>
      <w:r>
        <w:fldChar w:fldCharType="begin"/>
      </w:r>
      <w:r>
        <w:instrText xml:space="preserve"> PAGEREF _Toc5582 \h </w:instrText>
      </w:r>
      <w:r>
        <w:fldChar w:fldCharType="separate"/>
      </w:r>
      <w:r>
        <w:t>61</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_Toc26290 </w:instrText>
      </w:r>
      <w:r>
        <w:rPr>
          <w:rFonts w:hint="eastAsia" w:ascii="宋体" w:hAnsi="宋体" w:eastAsia="宋体" w:cs="宋体"/>
          <w:bCs/>
          <w:i w:val="0"/>
          <w:iCs w:val="0"/>
          <w:caps/>
          <w:szCs w:val="24"/>
        </w:rPr>
        <w:fldChar w:fldCharType="separate"/>
      </w:r>
      <w:r>
        <w:rPr>
          <w:rFonts w:hint="eastAsia"/>
        </w:rPr>
        <w:t>4.5.1采场防排水安全检查表</w:t>
      </w:r>
      <w:r>
        <w:tab/>
      </w:r>
      <w:r>
        <w:fldChar w:fldCharType="begin"/>
      </w:r>
      <w:r>
        <w:instrText xml:space="preserve"> PAGEREF _Toc26290 \h </w:instrText>
      </w:r>
      <w:r>
        <w:fldChar w:fldCharType="separate"/>
      </w:r>
      <w:r>
        <w:t>61</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_Toc12445 </w:instrText>
      </w:r>
      <w:r>
        <w:rPr>
          <w:rFonts w:hint="eastAsia" w:ascii="宋体" w:hAnsi="宋体" w:eastAsia="宋体" w:cs="宋体"/>
          <w:bCs/>
          <w:i w:val="0"/>
          <w:iCs w:val="0"/>
          <w:caps/>
          <w:szCs w:val="24"/>
        </w:rPr>
        <w:fldChar w:fldCharType="separate"/>
      </w:r>
      <w:r>
        <w:rPr>
          <w:rFonts w:hint="eastAsia"/>
        </w:rPr>
        <w:t>4.5.2现状与设计吻合性分析</w:t>
      </w:r>
      <w:r>
        <w:tab/>
      </w:r>
      <w:r>
        <w:fldChar w:fldCharType="begin"/>
      </w:r>
      <w:r>
        <w:instrText xml:space="preserve"> PAGEREF _Toc12445 \h </w:instrText>
      </w:r>
      <w:r>
        <w:fldChar w:fldCharType="separate"/>
      </w:r>
      <w:r>
        <w:t>62</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_Toc3910 </w:instrText>
      </w:r>
      <w:r>
        <w:rPr>
          <w:rFonts w:hint="eastAsia" w:ascii="宋体" w:hAnsi="宋体" w:eastAsia="宋体" w:cs="宋体"/>
          <w:bCs/>
          <w:i w:val="0"/>
          <w:iCs w:val="0"/>
          <w:caps/>
          <w:szCs w:val="24"/>
        </w:rPr>
        <w:fldChar w:fldCharType="separate"/>
      </w:r>
      <w:r>
        <w:rPr>
          <w:rFonts w:hint="eastAsia"/>
          <w:lang w:val="en-US" w:eastAsia="zh-CN"/>
        </w:rPr>
        <w:t>4.5.3</w:t>
      </w:r>
      <w:r>
        <w:rPr>
          <w:rFonts w:hint="eastAsia"/>
        </w:rPr>
        <w:t>单元存在问题及对策措施</w:t>
      </w:r>
      <w:r>
        <w:tab/>
      </w:r>
      <w:r>
        <w:fldChar w:fldCharType="begin"/>
      </w:r>
      <w:r>
        <w:instrText xml:space="preserve"> PAGEREF _Toc3910 \h </w:instrText>
      </w:r>
      <w:r>
        <w:fldChar w:fldCharType="separate"/>
      </w:r>
      <w:r>
        <w:t>63</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_Toc10105 </w:instrText>
      </w:r>
      <w:r>
        <w:rPr>
          <w:rFonts w:hint="eastAsia" w:ascii="宋体" w:hAnsi="宋体" w:eastAsia="宋体" w:cs="宋体"/>
          <w:bCs/>
          <w:i w:val="0"/>
          <w:iCs w:val="0"/>
          <w:caps/>
          <w:szCs w:val="24"/>
        </w:rPr>
        <w:fldChar w:fldCharType="separate"/>
      </w:r>
      <w:r>
        <w:rPr>
          <w:rFonts w:hint="eastAsia"/>
        </w:rPr>
        <w:t>4.5.</w:t>
      </w:r>
      <w:r>
        <w:rPr>
          <w:rFonts w:hint="eastAsia"/>
          <w:lang w:val="en-US" w:eastAsia="zh-CN"/>
        </w:rPr>
        <w:t>4</w:t>
      </w:r>
      <w:r>
        <w:rPr>
          <w:rFonts w:hint="eastAsia"/>
        </w:rPr>
        <w:t>单元小结</w:t>
      </w:r>
      <w:r>
        <w:tab/>
      </w:r>
      <w:r>
        <w:fldChar w:fldCharType="begin"/>
      </w:r>
      <w:r>
        <w:instrText xml:space="preserve"> PAGEREF _Toc10105 \h </w:instrText>
      </w:r>
      <w:r>
        <w:fldChar w:fldCharType="separate"/>
      </w:r>
      <w:r>
        <w:t>63</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_Toc17930 </w:instrText>
      </w:r>
      <w:r>
        <w:rPr>
          <w:rFonts w:hint="eastAsia" w:ascii="宋体" w:hAnsi="宋体" w:eastAsia="宋体" w:cs="宋体"/>
          <w:bCs/>
          <w:i w:val="0"/>
          <w:iCs w:val="0"/>
          <w:caps/>
          <w:szCs w:val="24"/>
        </w:rPr>
        <w:fldChar w:fldCharType="separate"/>
      </w:r>
      <w:r>
        <w:rPr>
          <w:rFonts w:hint="eastAsia"/>
          <w:lang w:eastAsia="zh-CN"/>
        </w:rPr>
        <w:t>4.6供配电单元</w:t>
      </w:r>
      <w:r>
        <w:tab/>
      </w:r>
      <w:r>
        <w:fldChar w:fldCharType="begin"/>
      </w:r>
      <w:r>
        <w:instrText xml:space="preserve"> PAGEREF _Toc17930 \h </w:instrText>
      </w:r>
      <w:r>
        <w:fldChar w:fldCharType="separate"/>
      </w:r>
      <w:r>
        <w:t>63</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_Toc27084 </w:instrText>
      </w:r>
      <w:r>
        <w:rPr>
          <w:rFonts w:hint="eastAsia" w:ascii="宋体" w:hAnsi="宋体" w:eastAsia="宋体" w:cs="宋体"/>
          <w:bCs/>
          <w:i w:val="0"/>
          <w:iCs w:val="0"/>
          <w:caps/>
          <w:szCs w:val="24"/>
        </w:rPr>
        <w:fldChar w:fldCharType="separate"/>
      </w:r>
      <w:r>
        <w:rPr>
          <w:rFonts w:hint="eastAsia"/>
        </w:rPr>
        <w:t>4.6.1供配电安全检查表</w:t>
      </w:r>
      <w:r>
        <w:tab/>
      </w:r>
      <w:r>
        <w:fldChar w:fldCharType="begin"/>
      </w:r>
      <w:r>
        <w:instrText xml:space="preserve"> PAGEREF _Toc27084 \h </w:instrText>
      </w:r>
      <w:r>
        <w:fldChar w:fldCharType="separate"/>
      </w:r>
      <w:r>
        <w:t>63</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_Toc8530 </w:instrText>
      </w:r>
      <w:r>
        <w:rPr>
          <w:rFonts w:hint="eastAsia" w:ascii="宋体" w:hAnsi="宋体" w:eastAsia="宋体" w:cs="宋体"/>
          <w:bCs/>
          <w:i w:val="0"/>
          <w:iCs w:val="0"/>
          <w:caps/>
          <w:szCs w:val="24"/>
        </w:rPr>
        <w:fldChar w:fldCharType="separate"/>
      </w:r>
      <w:r>
        <w:rPr>
          <w:rFonts w:hint="eastAsia"/>
        </w:rPr>
        <w:t>4.6.2现状与设计吻合性分析</w:t>
      </w:r>
      <w:r>
        <w:tab/>
      </w:r>
      <w:r>
        <w:fldChar w:fldCharType="begin"/>
      </w:r>
      <w:r>
        <w:instrText xml:space="preserve"> PAGEREF _Toc8530 \h </w:instrText>
      </w:r>
      <w:r>
        <w:fldChar w:fldCharType="separate"/>
      </w:r>
      <w:r>
        <w:t>64</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_Toc28364 </w:instrText>
      </w:r>
      <w:r>
        <w:rPr>
          <w:rFonts w:hint="eastAsia" w:ascii="宋体" w:hAnsi="宋体" w:eastAsia="宋体" w:cs="宋体"/>
          <w:bCs/>
          <w:i w:val="0"/>
          <w:iCs w:val="0"/>
          <w:caps/>
          <w:szCs w:val="24"/>
        </w:rPr>
        <w:fldChar w:fldCharType="separate"/>
      </w:r>
      <w:r>
        <w:rPr>
          <w:rFonts w:hint="eastAsia"/>
        </w:rPr>
        <w:t>4.6.3单元存在问题及对策措施</w:t>
      </w:r>
      <w:r>
        <w:tab/>
      </w:r>
      <w:r>
        <w:fldChar w:fldCharType="begin"/>
      </w:r>
      <w:r>
        <w:instrText xml:space="preserve"> PAGEREF _Toc28364 \h </w:instrText>
      </w:r>
      <w:r>
        <w:fldChar w:fldCharType="separate"/>
      </w:r>
      <w:r>
        <w:t>65</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_Toc21742 </w:instrText>
      </w:r>
      <w:r>
        <w:rPr>
          <w:rFonts w:hint="eastAsia" w:ascii="宋体" w:hAnsi="宋体" w:eastAsia="宋体" w:cs="宋体"/>
          <w:bCs/>
          <w:i w:val="0"/>
          <w:iCs w:val="0"/>
          <w:caps/>
          <w:szCs w:val="24"/>
        </w:rPr>
        <w:fldChar w:fldCharType="separate"/>
      </w:r>
      <w:r>
        <w:rPr>
          <w:rFonts w:hint="eastAsia"/>
        </w:rPr>
        <w:t>4.6.4单元小结</w:t>
      </w:r>
      <w:r>
        <w:tab/>
      </w:r>
      <w:r>
        <w:fldChar w:fldCharType="begin"/>
      </w:r>
      <w:r>
        <w:instrText xml:space="preserve"> PAGEREF _Toc21742 \h </w:instrText>
      </w:r>
      <w:r>
        <w:fldChar w:fldCharType="separate"/>
      </w:r>
      <w:r>
        <w:t>65</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_Toc30409 </w:instrText>
      </w:r>
      <w:r>
        <w:rPr>
          <w:rFonts w:hint="eastAsia" w:ascii="宋体" w:hAnsi="宋体" w:eastAsia="宋体" w:cs="宋体"/>
          <w:bCs/>
          <w:i w:val="0"/>
          <w:iCs w:val="0"/>
          <w:caps/>
          <w:szCs w:val="24"/>
        </w:rPr>
        <w:fldChar w:fldCharType="separate"/>
      </w:r>
      <w:r>
        <w:rPr>
          <w:rFonts w:hint="eastAsia"/>
          <w:lang w:eastAsia="zh-CN"/>
        </w:rPr>
        <w:t>4.7个人安全防护单元</w:t>
      </w:r>
      <w:r>
        <w:tab/>
      </w:r>
      <w:r>
        <w:fldChar w:fldCharType="begin"/>
      </w:r>
      <w:r>
        <w:instrText xml:space="preserve"> PAGEREF _Toc30409 \h </w:instrText>
      </w:r>
      <w:r>
        <w:fldChar w:fldCharType="separate"/>
      </w:r>
      <w:r>
        <w:t>65</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_Toc5283 </w:instrText>
      </w:r>
      <w:r>
        <w:rPr>
          <w:rFonts w:hint="eastAsia" w:ascii="宋体" w:hAnsi="宋体" w:eastAsia="宋体" w:cs="宋体"/>
          <w:bCs/>
          <w:i w:val="0"/>
          <w:iCs w:val="0"/>
          <w:caps/>
          <w:szCs w:val="24"/>
        </w:rPr>
        <w:fldChar w:fldCharType="separate"/>
      </w:r>
      <w:r>
        <w:rPr>
          <w:rFonts w:hint="eastAsia"/>
        </w:rPr>
        <w:t>4.7.1个人安全防护符合性检查</w:t>
      </w:r>
      <w:r>
        <w:tab/>
      </w:r>
      <w:r>
        <w:fldChar w:fldCharType="begin"/>
      </w:r>
      <w:r>
        <w:instrText xml:space="preserve"> PAGEREF _Toc5283 \h </w:instrText>
      </w:r>
      <w:r>
        <w:fldChar w:fldCharType="separate"/>
      </w:r>
      <w:r>
        <w:t>65</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_Toc28744 </w:instrText>
      </w:r>
      <w:r>
        <w:rPr>
          <w:rFonts w:hint="eastAsia" w:ascii="宋体" w:hAnsi="宋体" w:eastAsia="宋体" w:cs="宋体"/>
          <w:bCs/>
          <w:i w:val="0"/>
          <w:iCs w:val="0"/>
          <w:caps/>
          <w:szCs w:val="24"/>
        </w:rPr>
        <w:fldChar w:fldCharType="separate"/>
      </w:r>
      <w:r>
        <w:rPr>
          <w:rFonts w:hint="eastAsia"/>
          <w:lang w:eastAsia="zh-CN"/>
        </w:rPr>
        <w:t>4</w:t>
      </w:r>
      <w:r>
        <w:rPr>
          <w:lang w:eastAsia="zh-CN"/>
        </w:rPr>
        <w:t>.7.2</w:t>
      </w:r>
      <w:r>
        <w:rPr>
          <w:rFonts w:hint="eastAsia"/>
          <w:lang w:eastAsia="zh-CN"/>
        </w:rPr>
        <w:t>现状与设计吻合性分析</w:t>
      </w:r>
      <w:r>
        <w:tab/>
      </w:r>
      <w:r>
        <w:fldChar w:fldCharType="begin"/>
      </w:r>
      <w:r>
        <w:instrText xml:space="preserve"> PAGEREF _Toc28744 \h </w:instrText>
      </w:r>
      <w:r>
        <w:fldChar w:fldCharType="separate"/>
      </w:r>
      <w:r>
        <w:t>66</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_Toc16235 </w:instrText>
      </w:r>
      <w:r>
        <w:rPr>
          <w:rFonts w:hint="eastAsia" w:ascii="宋体" w:hAnsi="宋体" w:eastAsia="宋体" w:cs="宋体"/>
          <w:bCs/>
          <w:i w:val="0"/>
          <w:iCs w:val="0"/>
          <w:caps/>
          <w:szCs w:val="24"/>
        </w:rPr>
        <w:fldChar w:fldCharType="separate"/>
      </w:r>
      <w:r>
        <w:rPr>
          <w:rFonts w:hint="eastAsia"/>
          <w:lang w:val="en-US" w:eastAsia="zh-CN"/>
        </w:rPr>
        <w:t>4.7.3单元小结</w:t>
      </w:r>
      <w:r>
        <w:tab/>
      </w:r>
      <w:r>
        <w:fldChar w:fldCharType="begin"/>
      </w:r>
      <w:r>
        <w:instrText xml:space="preserve"> PAGEREF _Toc16235 \h </w:instrText>
      </w:r>
      <w:r>
        <w:fldChar w:fldCharType="separate"/>
      </w:r>
      <w:r>
        <w:t>66</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_Toc26300 </w:instrText>
      </w:r>
      <w:r>
        <w:rPr>
          <w:rFonts w:hint="eastAsia" w:ascii="宋体" w:hAnsi="宋体" w:eastAsia="宋体" w:cs="宋体"/>
          <w:bCs/>
          <w:i w:val="0"/>
          <w:iCs w:val="0"/>
          <w:caps/>
          <w:szCs w:val="24"/>
        </w:rPr>
        <w:fldChar w:fldCharType="separate"/>
      </w:r>
      <w:r>
        <w:rPr>
          <w:rFonts w:hint="eastAsia"/>
          <w:lang w:eastAsia="zh-CN"/>
        </w:rPr>
        <w:t>4.8安全标志</w:t>
      </w:r>
      <w:r>
        <w:tab/>
      </w:r>
      <w:r>
        <w:fldChar w:fldCharType="begin"/>
      </w:r>
      <w:r>
        <w:instrText xml:space="preserve"> PAGEREF _Toc26300 \h </w:instrText>
      </w:r>
      <w:r>
        <w:fldChar w:fldCharType="separate"/>
      </w:r>
      <w:r>
        <w:t>67</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_Toc16842 </w:instrText>
      </w:r>
      <w:r>
        <w:rPr>
          <w:rFonts w:hint="eastAsia" w:ascii="宋体" w:hAnsi="宋体" w:eastAsia="宋体" w:cs="宋体"/>
          <w:bCs/>
          <w:i w:val="0"/>
          <w:iCs w:val="0"/>
          <w:caps/>
          <w:szCs w:val="24"/>
        </w:rPr>
        <w:fldChar w:fldCharType="separate"/>
      </w:r>
      <w:r>
        <w:rPr>
          <w:rFonts w:hint="eastAsia"/>
        </w:rPr>
        <w:t>4.8.1安全标志符合性检查</w:t>
      </w:r>
      <w:r>
        <w:tab/>
      </w:r>
      <w:r>
        <w:fldChar w:fldCharType="begin"/>
      </w:r>
      <w:r>
        <w:instrText xml:space="preserve"> PAGEREF _Toc16842 \h </w:instrText>
      </w:r>
      <w:r>
        <w:fldChar w:fldCharType="separate"/>
      </w:r>
      <w:r>
        <w:t>67</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_Toc20490 </w:instrText>
      </w:r>
      <w:r>
        <w:rPr>
          <w:rFonts w:hint="eastAsia" w:ascii="宋体" w:hAnsi="宋体" w:eastAsia="宋体" w:cs="宋体"/>
          <w:bCs/>
          <w:i w:val="0"/>
          <w:iCs w:val="0"/>
          <w:caps/>
          <w:szCs w:val="24"/>
        </w:rPr>
        <w:fldChar w:fldCharType="separate"/>
      </w:r>
      <w:r>
        <w:rPr>
          <w:rFonts w:hint="eastAsia"/>
        </w:rPr>
        <w:t>4.8.2现状与设计吻合性分析</w:t>
      </w:r>
      <w:r>
        <w:tab/>
      </w:r>
      <w:r>
        <w:fldChar w:fldCharType="begin"/>
      </w:r>
      <w:r>
        <w:instrText xml:space="preserve"> PAGEREF _Toc20490 \h </w:instrText>
      </w:r>
      <w:r>
        <w:fldChar w:fldCharType="separate"/>
      </w:r>
      <w:r>
        <w:t>67</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_Toc20411 </w:instrText>
      </w:r>
      <w:r>
        <w:rPr>
          <w:rFonts w:hint="eastAsia" w:ascii="宋体" w:hAnsi="宋体" w:eastAsia="宋体" w:cs="宋体"/>
          <w:bCs/>
          <w:i w:val="0"/>
          <w:iCs w:val="0"/>
          <w:caps/>
          <w:szCs w:val="24"/>
        </w:rPr>
        <w:fldChar w:fldCharType="separate"/>
      </w:r>
      <w:r>
        <w:rPr>
          <w:rFonts w:hint="eastAsia"/>
        </w:rPr>
        <w:t>4.8.3单元存在问题及对策措施</w:t>
      </w:r>
      <w:r>
        <w:tab/>
      </w:r>
      <w:r>
        <w:fldChar w:fldCharType="begin"/>
      </w:r>
      <w:r>
        <w:instrText xml:space="preserve"> PAGEREF _Toc20411 \h </w:instrText>
      </w:r>
      <w:r>
        <w:fldChar w:fldCharType="separate"/>
      </w:r>
      <w:r>
        <w:t>68</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_Toc30535 </w:instrText>
      </w:r>
      <w:r>
        <w:rPr>
          <w:rFonts w:hint="eastAsia" w:ascii="宋体" w:hAnsi="宋体" w:eastAsia="宋体" w:cs="宋体"/>
          <w:bCs/>
          <w:i w:val="0"/>
          <w:iCs w:val="0"/>
          <w:caps/>
          <w:szCs w:val="24"/>
        </w:rPr>
        <w:fldChar w:fldCharType="separate"/>
      </w:r>
      <w:r>
        <w:rPr>
          <w:rFonts w:hint="eastAsia"/>
        </w:rPr>
        <w:t>4.8.4单元小结</w:t>
      </w:r>
      <w:r>
        <w:tab/>
      </w:r>
      <w:r>
        <w:fldChar w:fldCharType="begin"/>
      </w:r>
      <w:r>
        <w:instrText xml:space="preserve"> PAGEREF _Toc30535 \h </w:instrText>
      </w:r>
      <w:r>
        <w:fldChar w:fldCharType="separate"/>
      </w:r>
      <w:r>
        <w:t>68</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_Toc23290 </w:instrText>
      </w:r>
      <w:r>
        <w:rPr>
          <w:rFonts w:hint="eastAsia" w:ascii="宋体" w:hAnsi="宋体" w:eastAsia="宋体" w:cs="宋体"/>
          <w:bCs/>
          <w:i w:val="0"/>
          <w:iCs w:val="0"/>
          <w:caps/>
          <w:szCs w:val="24"/>
        </w:rPr>
        <w:fldChar w:fldCharType="separate"/>
      </w:r>
      <w:r>
        <w:rPr>
          <w:rFonts w:hint="eastAsia"/>
          <w:lang w:eastAsia="zh-CN"/>
        </w:rPr>
        <w:t>4.</w:t>
      </w:r>
      <w:r>
        <w:rPr>
          <w:rFonts w:hint="eastAsia"/>
          <w:lang w:val="en-US" w:eastAsia="zh-CN"/>
        </w:rPr>
        <w:t>9</w:t>
      </w:r>
      <w:r>
        <w:rPr>
          <w:rFonts w:hint="eastAsia"/>
          <w:lang w:eastAsia="zh-CN"/>
        </w:rPr>
        <w:t>安全管理单元</w:t>
      </w:r>
      <w:r>
        <w:tab/>
      </w:r>
      <w:r>
        <w:fldChar w:fldCharType="begin"/>
      </w:r>
      <w:r>
        <w:instrText xml:space="preserve"> PAGEREF _Toc23290 \h </w:instrText>
      </w:r>
      <w:r>
        <w:fldChar w:fldCharType="separate"/>
      </w:r>
      <w:r>
        <w:t>68</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_Toc30286 </w:instrText>
      </w:r>
      <w:r>
        <w:rPr>
          <w:rFonts w:hint="eastAsia" w:ascii="宋体" w:hAnsi="宋体" w:eastAsia="宋体" w:cs="宋体"/>
          <w:bCs/>
          <w:i w:val="0"/>
          <w:iCs w:val="0"/>
          <w:caps/>
          <w:szCs w:val="24"/>
        </w:rPr>
        <w:fldChar w:fldCharType="separate"/>
      </w:r>
      <w:r>
        <w:rPr>
          <w:rFonts w:hint="eastAsia"/>
        </w:rPr>
        <w:t>4.</w:t>
      </w:r>
      <w:r>
        <w:rPr>
          <w:rFonts w:hint="eastAsia"/>
          <w:lang w:val="en-US" w:eastAsia="zh-CN"/>
        </w:rPr>
        <w:t>9</w:t>
      </w:r>
      <w:r>
        <w:rPr>
          <w:rFonts w:hint="eastAsia"/>
        </w:rPr>
        <w:t>.1安全管理安全检查表</w:t>
      </w:r>
      <w:r>
        <w:tab/>
      </w:r>
      <w:r>
        <w:fldChar w:fldCharType="begin"/>
      </w:r>
      <w:r>
        <w:instrText xml:space="preserve"> PAGEREF _Toc30286 \h </w:instrText>
      </w:r>
      <w:r>
        <w:fldChar w:fldCharType="separate"/>
      </w:r>
      <w:r>
        <w:t>68</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_Toc4283 </w:instrText>
      </w:r>
      <w:r>
        <w:rPr>
          <w:rFonts w:hint="eastAsia" w:ascii="宋体" w:hAnsi="宋体" w:eastAsia="宋体" w:cs="宋体"/>
          <w:bCs/>
          <w:i w:val="0"/>
          <w:iCs w:val="0"/>
          <w:caps/>
          <w:szCs w:val="24"/>
        </w:rPr>
        <w:fldChar w:fldCharType="separate"/>
      </w:r>
      <w:r>
        <w:rPr>
          <w:rFonts w:hint="eastAsia"/>
        </w:rPr>
        <w:t>4.</w:t>
      </w:r>
      <w:r>
        <w:rPr>
          <w:rFonts w:hint="eastAsia"/>
          <w:lang w:val="en-US" w:eastAsia="zh-CN"/>
        </w:rPr>
        <w:t>9</w:t>
      </w:r>
      <w:r>
        <w:rPr>
          <w:rFonts w:hint="eastAsia"/>
        </w:rPr>
        <w:t>.2现状吻合性分析</w:t>
      </w:r>
      <w:r>
        <w:tab/>
      </w:r>
      <w:r>
        <w:fldChar w:fldCharType="begin"/>
      </w:r>
      <w:r>
        <w:instrText xml:space="preserve"> PAGEREF _Toc4283 \h </w:instrText>
      </w:r>
      <w:r>
        <w:fldChar w:fldCharType="separate"/>
      </w:r>
      <w:r>
        <w:t>72</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_Toc32034 </w:instrText>
      </w:r>
      <w:r>
        <w:rPr>
          <w:rFonts w:hint="eastAsia" w:ascii="宋体" w:hAnsi="宋体" w:eastAsia="宋体" w:cs="宋体"/>
          <w:bCs/>
          <w:i w:val="0"/>
          <w:iCs w:val="0"/>
          <w:caps/>
          <w:szCs w:val="24"/>
        </w:rPr>
        <w:fldChar w:fldCharType="separate"/>
      </w:r>
      <w:r>
        <w:rPr>
          <w:rFonts w:hint="eastAsia"/>
        </w:rPr>
        <w:t>4.</w:t>
      </w:r>
      <w:r>
        <w:rPr>
          <w:rFonts w:hint="eastAsia"/>
          <w:lang w:val="en-US" w:eastAsia="zh-CN"/>
        </w:rPr>
        <w:t>9</w:t>
      </w:r>
      <w:r>
        <w:rPr>
          <w:rFonts w:hint="eastAsia"/>
        </w:rPr>
        <w:t>.3单元存在问题及对策措施</w:t>
      </w:r>
      <w:r>
        <w:tab/>
      </w:r>
      <w:r>
        <w:fldChar w:fldCharType="begin"/>
      </w:r>
      <w:r>
        <w:instrText xml:space="preserve"> PAGEREF _Toc32034 \h </w:instrText>
      </w:r>
      <w:r>
        <w:fldChar w:fldCharType="separate"/>
      </w:r>
      <w:r>
        <w:t>72</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_Toc16918 </w:instrText>
      </w:r>
      <w:r>
        <w:rPr>
          <w:rFonts w:hint="eastAsia" w:ascii="宋体" w:hAnsi="宋体" w:eastAsia="宋体" w:cs="宋体"/>
          <w:bCs/>
          <w:i w:val="0"/>
          <w:iCs w:val="0"/>
          <w:caps/>
          <w:szCs w:val="24"/>
        </w:rPr>
        <w:fldChar w:fldCharType="separate"/>
      </w:r>
      <w:r>
        <w:rPr>
          <w:rFonts w:hint="eastAsia"/>
        </w:rPr>
        <w:t>4.</w:t>
      </w:r>
      <w:r>
        <w:rPr>
          <w:rFonts w:hint="eastAsia"/>
          <w:lang w:val="en-US" w:eastAsia="zh-CN"/>
        </w:rPr>
        <w:t>9</w:t>
      </w:r>
      <w:r>
        <w:rPr>
          <w:rFonts w:hint="eastAsia"/>
        </w:rPr>
        <w:t>.</w:t>
      </w:r>
      <w:r>
        <w:rPr>
          <w:rFonts w:hint="eastAsia"/>
          <w:lang w:val="en-US" w:eastAsia="zh-CN"/>
        </w:rPr>
        <w:t>4</w:t>
      </w:r>
      <w:r>
        <w:rPr>
          <w:rFonts w:hint="eastAsia"/>
        </w:rPr>
        <w:t>单元小结</w:t>
      </w:r>
      <w:r>
        <w:tab/>
      </w:r>
      <w:r>
        <w:fldChar w:fldCharType="begin"/>
      </w:r>
      <w:r>
        <w:instrText xml:space="preserve"> PAGEREF _Toc16918 \h </w:instrText>
      </w:r>
      <w:r>
        <w:fldChar w:fldCharType="separate"/>
      </w:r>
      <w:r>
        <w:t>72</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_Toc23859 </w:instrText>
      </w:r>
      <w:r>
        <w:rPr>
          <w:rFonts w:hint="eastAsia" w:ascii="宋体" w:hAnsi="宋体" w:eastAsia="宋体" w:cs="宋体"/>
          <w:bCs/>
          <w:i w:val="0"/>
          <w:iCs w:val="0"/>
          <w:caps/>
          <w:szCs w:val="24"/>
        </w:rPr>
        <w:fldChar w:fldCharType="separate"/>
      </w:r>
      <w:r>
        <w:rPr>
          <w:rFonts w:hint="eastAsia"/>
          <w:lang w:eastAsia="zh-CN"/>
        </w:rPr>
        <w:t>4.1</w:t>
      </w:r>
      <w:r>
        <w:rPr>
          <w:rFonts w:hint="eastAsia"/>
          <w:lang w:val="en-US" w:eastAsia="zh-CN"/>
        </w:rPr>
        <w:t>0</w:t>
      </w:r>
      <w:r>
        <w:rPr>
          <w:rFonts w:hint="eastAsia"/>
          <w:lang w:eastAsia="zh-CN"/>
        </w:rPr>
        <w:t>重大生产安全事故隐患判定单元</w:t>
      </w:r>
      <w:r>
        <w:tab/>
      </w:r>
      <w:r>
        <w:fldChar w:fldCharType="begin"/>
      </w:r>
      <w:r>
        <w:instrText xml:space="preserve"> PAGEREF _Toc23859 \h </w:instrText>
      </w:r>
      <w:r>
        <w:fldChar w:fldCharType="separate"/>
      </w:r>
      <w:r>
        <w:t>73</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_Toc29856 </w:instrText>
      </w:r>
      <w:r>
        <w:rPr>
          <w:rFonts w:hint="eastAsia" w:ascii="宋体" w:hAnsi="宋体" w:eastAsia="宋体" w:cs="宋体"/>
          <w:bCs/>
          <w:i w:val="0"/>
          <w:iCs w:val="0"/>
          <w:caps/>
          <w:szCs w:val="24"/>
        </w:rPr>
        <w:fldChar w:fldCharType="separate"/>
      </w:r>
      <w:r>
        <w:rPr>
          <w:rFonts w:hint="eastAsia"/>
        </w:rPr>
        <w:t>4.1</w:t>
      </w:r>
      <w:r>
        <w:rPr>
          <w:rFonts w:hint="eastAsia"/>
          <w:lang w:val="en-US" w:eastAsia="zh-CN"/>
        </w:rPr>
        <w:t>0</w:t>
      </w:r>
      <w:r>
        <w:rPr>
          <w:rFonts w:hint="eastAsia"/>
        </w:rPr>
        <w:t>.1金属非金属露天矿山重大生产安全事故隐患检查表</w:t>
      </w:r>
      <w:r>
        <w:tab/>
      </w:r>
      <w:r>
        <w:fldChar w:fldCharType="begin"/>
      </w:r>
      <w:r>
        <w:instrText xml:space="preserve"> PAGEREF _Toc29856 \h </w:instrText>
      </w:r>
      <w:r>
        <w:fldChar w:fldCharType="separate"/>
      </w:r>
      <w:r>
        <w:t>73</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_Toc16386 </w:instrText>
      </w:r>
      <w:r>
        <w:rPr>
          <w:rFonts w:hint="eastAsia" w:ascii="宋体" w:hAnsi="宋体" w:eastAsia="宋体" w:cs="宋体"/>
          <w:bCs/>
          <w:i w:val="0"/>
          <w:iCs w:val="0"/>
          <w:caps/>
          <w:szCs w:val="24"/>
        </w:rPr>
        <w:fldChar w:fldCharType="separate"/>
      </w:r>
      <w:r>
        <w:rPr>
          <w:rFonts w:hint="eastAsia" w:ascii="宋体" w:hAnsi="宋体" w:eastAsia="宋体"/>
          <w:bCs/>
        </w:rPr>
        <w:t>4.1</w:t>
      </w:r>
      <w:r>
        <w:rPr>
          <w:rFonts w:hint="eastAsia" w:eastAsia="宋体"/>
          <w:bCs/>
          <w:lang w:val="en-US" w:eastAsia="zh-CN"/>
        </w:rPr>
        <w:t>0</w:t>
      </w:r>
      <w:r>
        <w:rPr>
          <w:rFonts w:hint="eastAsia" w:ascii="宋体" w:hAnsi="宋体" w:eastAsia="宋体"/>
          <w:bCs/>
        </w:rPr>
        <w:t>.2单元小结</w:t>
      </w:r>
      <w:r>
        <w:tab/>
      </w:r>
      <w:r>
        <w:fldChar w:fldCharType="begin"/>
      </w:r>
      <w:r>
        <w:instrText xml:space="preserve"> PAGEREF _Toc16386 \h </w:instrText>
      </w:r>
      <w:r>
        <w:fldChar w:fldCharType="separate"/>
      </w:r>
      <w:r>
        <w:t>74</w:t>
      </w:r>
      <w:r>
        <w:fldChar w:fldCharType="end"/>
      </w:r>
      <w:r>
        <w:rPr>
          <w:rFonts w:hint="eastAsia" w:ascii="宋体" w:hAnsi="宋体" w:eastAsia="宋体" w:cs="宋体"/>
          <w:bCs/>
          <w:i w:val="0"/>
          <w:iCs w:val="0"/>
          <w:caps/>
          <w:color w:val="auto"/>
          <w:szCs w:val="24"/>
        </w:rPr>
        <w:fldChar w:fldCharType="end"/>
      </w:r>
    </w:p>
    <w:p>
      <w:pPr>
        <w:pStyle w:val="25"/>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_Toc1294 </w:instrText>
      </w:r>
      <w:r>
        <w:rPr>
          <w:rFonts w:hint="eastAsia" w:ascii="宋体" w:hAnsi="宋体" w:eastAsia="宋体" w:cs="宋体"/>
          <w:bCs/>
          <w:i w:val="0"/>
          <w:iCs w:val="0"/>
          <w:caps/>
          <w:szCs w:val="24"/>
        </w:rPr>
        <w:fldChar w:fldCharType="separate"/>
      </w:r>
      <w:r>
        <w:rPr>
          <w:rFonts w:hint="eastAsia"/>
          <w:lang w:eastAsia="zh-CN"/>
        </w:rPr>
        <w:t>第5章</w:t>
      </w:r>
      <w:r>
        <w:rPr>
          <w:rFonts w:hint="eastAsia"/>
          <w:lang w:val="en-US" w:eastAsia="zh-CN"/>
        </w:rPr>
        <w:t xml:space="preserve">  </w:t>
      </w:r>
      <w:r>
        <w:rPr>
          <w:lang w:eastAsia="zh-CN"/>
        </w:rPr>
        <w:t>安全对策措施建议</w:t>
      </w:r>
      <w:r>
        <w:tab/>
      </w:r>
      <w:r>
        <w:fldChar w:fldCharType="begin"/>
      </w:r>
      <w:r>
        <w:instrText xml:space="preserve"> PAGEREF _Toc1294 \h </w:instrText>
      </w:r>
      <w:r>
        <w:fldChar w:fldCharType="separate"/>
      </w:r>
      <w:r>
        <w:t>75</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_Toc27582 </w:instrText>
      </w:r>
      <w:r>
        <w:rPr>
          <w:rFonts w:hint="eastAsia" w:ascii="宋体" w:hAnsi="宋体" w:eastAsia="宋体" w:cs="宋体"/>
          <w:bCs/>
          <w:i w:val="0"/>
          <w:iCs w:val="0"/>
          <w:caps/>
          <w:szCs w:val="24"/>
        </w:rPr>
        <w:fldChar w:fldCharType="separate"/>
      </w:r>
      <w:r>
        <w:rPr>
          <w:rFonts w:hint="eastAsia"/>
          <w:lang w:eastAsia="zh-CN"/>
        </w:rPr>
        <w:t>5.1安全对策措施</w:t>
      </w:r>
      <w:r>
        <w:tab/>
      </w:r>
      <w:r>
        <w:fldChar w:fldCharType="begin"/>
      </w:r>
      <w:r>
        <w:instrText xml:space="preserve"> PAGEREF _Toc27582 \h </w:instrText>
      </w:r>
      <w:r>
        <w:fldChar w:fldCharType="separate"/>
      </w:r>
      <w:r>
        <w:t>75</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_Toc21477 </w:instrText>
      </w:r>
      <w:r>
        <w:rPr>
          <w:rFonts w:hint="eastAsia" w:ascii="宋体" w:hAnsi="宋体" w:eastAsia="宋体" w:cs="宋体"/>
          <w:bCs/>
          <w:i w:val="0"/>
          <w:iCs w:val="0"/>
          <w:caps/>
          <w:szCs w:val="24"/>
        </w:rPr>
        <w:fldChar w:fldCharType="separate"/>
      </w:r>
      <w:r>
        <w:rPr>
          <w:rFonts w:hint="eastAsia"/>
          <w:lang w:eastAsia="zh-CN"/>
        </w:rPr>
        <w:t>5.1.1总平面布置单元</w:t>
      </w:r>
      <w:r>
        <w:tab/>
      </w:r>
      <w:r>
        <w:fldChar w:fldCharType="begin"/>
      </w:r>
      <w:r>
        <w:instrText xml:space="preserve"> PAGEREF _Toc21477 \h </w:instrText>
      </w:r>
      <w:r>
        <w:fldChar w:fldCharType="separate"/>
      </w:r>
      <w:r>
        <w:t>75</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_Toc19904 </w:instrText>
      </w:r>
      <w:r>
        <w:rPr>
          <w:rFonts w:hint="eastAsia" w:ascii="宋体" w:hAnsi="宋体" w:eastAsia="宋体" w:cs="宋体"/>
          <w:bCs/>
          <w:i w:val="0"/>
          <w:iCs w:val="0"/>
          <w:caps/>
          <w:szCs w:val="24"/>
        </w:rPr>
        <w:fldChar w:fldCharType="separate"/>
      </w:r>
      <w:r>
        <w:rPr>
          <w:rFonts w:hint="eastAsia"/>
          <w:lang w:eastAsia="zh-CN"/>
        </w:rPr>
        <w:t>5.1.2开拓运输系统单元</w:t>
      </w:r>
      <w:r>
        <w:tab/>
      </w:r>
      <w:r>
        <w:fldChar w:fldCharType="begin"/>
      </w:r>
      <w:r>
        <w:instrText xml:space="preserve"> PAGEREF _Toc19904 \h </w:instrText>
      </w:r>
      <w:r>
        <w:fldChar w:fldCharType="separate"/>
      </w:r>
      <w:r>
        <w:t>75</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_Toc29804 </w:instrText>
      </w:r>
      <w:r>
        <w:rPr>
          <w:rFonts w:hint="eastAsia" w:ascii="宋体" w:hAnsi="宋体" w:eastAsia="宋体" w:cs="宋体"/>
          <w:bCs/>
          <w:i w:val="0"/>
          <w:iCs w:val="0"/>
          <w:caps/>
          <w:szCs w:val="24"/>
        </w:rPr>
        <w:fldChar w:fldCharType="separate"/>
      </w:r>
      <w:r>
        <w:rPr>
          <w:rFonts w:hint="eastAsia"/>
          <w:lang w:eastAsia="zh-CN"/>
        </w:rPr>
        <w:t>5.1.3采剥单元</w:t>
      </w:r>
      <w:r>
        <w:tab/>
      </w:r>
      <w:r>
        <w:fldChar w:fldCharType="begin"/>
      </w:r>
      <w:r>
        <w:instrText xml:space="preserve"> PAGEREF _Toc29804 \h </w:instrText>
      </w:r>
      <w:r>
        <w:fldChar w:fldCharType="separate"/>
      </w:r>
      <w:r>
        <w:t>75</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_Toc544 </w:instrText>
      </w:r>
      <w:r>
        <w:rPr>
          <w:rFonts w:hint="eastAsia" w:ascii="宋体" w:hAnsi="宋体" w:eastAsia="宋体" w:cs="宋体"/>
          <w:bCs/>
          <w:i w:val="0"/>
          <w:iCs w:val="0"/>
          <w:caps/>
          <w:szCs w:val="24"/>
        </w:rPr>
        <w:fldChar w:fldCharType="separate"/>
      </w:r>
      <w:r>
        <w:rPr>
          <w:rFonts w:hint="eastAsia"/>
          <w:lang w:eastAsia="zh-CN"/>
        </w:rPr>
        <w:t>5.1.4采场防排水系统单元</w:t>
      </w:r>
      <w:r>
        <w:tab/>
      </w:r>
      <w:r>
        <w:fldChar w:fldCharType="begin"/>
      </w:r>
      <w:r>
        <w:instrText xml:space="preserve"> PAGEREF _Toc544 \h </w:instrText>
      </w:r>
      <w:r>
        <w:fldChar w:fldCharType="separate"/>
      </w:r>
      <w:r>
        <w:t>76</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_Toc22663 </w:instrText>
      </w:r>
      <w:r>
        <w:rPr>
          <w:rFonts w:hint="eastAsia" w:ascii="宋体" w:hAnsi="宋体" w:eastAsia="宋体" w:cs="宋体"/>
          <w:bCs/>
          <w:i w:val="0"/>
          <w:iCs w:val="0"/>
          <w:caps/>
          <w:szCs w:val="24"/>
        </w:rPr>
        <w:fldChar w:fldCharType="separate"/>
      </w:r>
      <w:r>
        <w:rPr>
          <w:rFonts w:hint="eastAsia"/>
          <w:lang w:eastAsia="zh-CN"/>
        </w:rPr>
        <w:t>5.1.5供配电单元</w:t>
      </w:r>
      <w:r>
        <w:tab/>
      </w:r>
      <w:r>
        <w:fldChar w:fldCharType="begin"/>
      </w:r>
      <w:r>
        <w:instrText xml:space="preserve"> PAGEREF _Toc22663 \h </w:instrText>
      </w:r>
      <w:r>
        <w:fldChar w:fldCharType="separate"/>
      </w:r>
      <w:r>
        <w:t>76</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_Toc2231 </w:instrText>
      </w:r>
      <w:r>
        <w:rPr>
          <w:rFonts w:hint="eastAsia" w:ascii="宋体" w:hAnsi="宋体" w:eastAsia="宋体" w:cs="宋体"/>
          <w:bCs/>
          <w:i w:val="0"/>
          <w:iCs w:val="0"/>
          <w:caps/>
          <w:szCs w:val="24"/>
        </w:rPr>
        <w:fldChar w:fldCharType="separate"/>
      </w:r>
      <w:r>
        <w:rPr>
          <w:rFonts w:hint="eastAsia"/>
          <w:lang w:eastAsia="zh-CN"/>
        </w:rPr>
        <w:t>5.1.6个人安全防护单元</w:t>
      </w:r>
      <w:r>
        <w:tab/>
      </w:r>
      <w:r>
        <w:fldChar w:fldCharType="begin"/>
      </w:r>
      <w:r>
        <w:instrText xml:space="preserve"> PAGEREF _Toc2231 \h </w:instrText>
      </w:r>
      <w:r>
        <w:fldChar w:fldCharType="separate"/>
      </w:r>
      <w:r>
        <w:t>76</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_Toc6972 </w:instrText>
      </w:r>
      <w:r>
        <w:rPr>
          <w:rFonts w:hint="eastAsia" w:ascii="宋体" w:hAnsi="宋体" w:eastAsia="宋体" w:cs="宋体"/>
          <w:bCs/>
          <w:i w:val="0"/>
          <w:iCs w:val="0"/>
          <w:caps/>
          <w:szCs w:val="24"/>
        </w:rPr>
        <w:fldChar w:fldCharType="separate"/>
      </w:r>
      <w:r>
        <w:rPr>
          <w:rFonts w:hint="eastAsia"/>
          <w:lang w:eastAsia="zh-CN"/>
        </w:rPr>
        <w:t>5.1.7安全标志</w:t>
      </w:r>
      <w:r>
        <w:tab/>
      </w:r>
      <w:r>
        <w:fldChar w:fldCharType="begin"/>
      </w:r>
      <w:r>
        <w:instrText xml:space="preserve"> PAGEREF _Toc6972 \h </w:instrText>
      </w:r>
      <w:r>
        <w:fldChar w:fldCharType="separate"/>
      </w:r>
      <w:r>
        <w:t>76</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_Toc10613 </w:instrText>
      </w:r>
      <w:r>
        <w:rPr>
          <w:rFonts w:hint="eastAsia" w:ascii="宋体" w:hAnsi="宋体" w:eastAsia="宋体" w:cs="宋体"/>
          <w:bCs/>
          <w:i w:val="0"/>
          <w:iCs w:val="0"/>
          <w:caps/>
          <w:szCs w:val="24"/>
        </w:rPr>
        <w:fldChar w:fldCharType="separate"/>
      </w:r>
      <w:r>
        <w:rPr>
          <w:rFonts w:hint="eastAsia"/>
          <w:lang w:eastAsia="zh-CN"/>
        </w:rPr>
        <w:t>5.1.</w:t>
      </w:r>
      <w:r>
        <w:rPr>
          <w:rFonts w:hint="eastAsia"/>
          <w:lang w:val="en-US" w:eastAsia="zh-CN"/>
        </w:rPr>
        <w:t>8</w:t>
      </w:r>
      <w:r>
        <w:rPr>
          <w:rFonts w:hint="eastAsia"/>
          <w:lang w:eastAsia="zh-CN"/>
        </w:rPr>
        <w:t>安全管理单元</w:t>
      </w:r>
      <w:r>
        <w:tab/>
      </w:r>
      <w:r>
        <w:fldChar w:fldCharType="begin"/>
      </w:r>
      <w:r>
        <w:instrText xml:space="preserve"> PAGEREF _Toc10613 \h </w:instrText>
      </w:r>
      <w:r>
        <w:fldChar w:fldCharType="separate"/>
      </w:r>
      <w:r>
        <w:t>77</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_Toc30062 </w:instrText>
      </w:r>
      <w:r>
        <w:rPr>
          <w:rFonts w:hint="eastAsia" w:ascii="宋体" w:hAnsi="宋体" w:eastAsia="宋体" w:cs="宋体"/>
          <w:bCs/>
          <w:i w:val="0"/>
          <w:iCs w:val="0"/>
          <w:caps/>
          <w:szCs w:val="24"/>
        </w:rPr>
        <w:fldChar w:fldCharType="separate"/>
      </w:r>
      <w:r>
        <w:rPr>
          <w:rFonts w:hint="eastAsia"/>
          <w:lang w:eastAsia="zh-CN"/>
        </w:rPr>
        <w:t>5.1.</w:t>
      </w:r>
      <w:r>
        <w:rPr>
          <w:rFonts w:hint="eastAsia"/>
          <w:lang w:val="en-US" w:eastAsia="zh-CN"/>
        </w:rPr>
        <w:t>9</w:t>
      </w:r>
      <w:r>
        <w:rPr>
          <w:rFonts w:hint="eastAsia"/>
          <w:lang w:eastAsia="zh-CN"/>
        </w:rPr>
        <w:t>其他应采取的安全对策措施建议</w:t>
      </w:r>
      <w:r>
        <w:tab/>
      </w:r>
      <w:r>
        <w:fldChar w:fldCharType="begin"/>
      </w:r>
      <w:r>
        <w:instrText xml:space="preserve"> PAGEREF _Toc30062 \h </w:instrText>
      </w:r>
      <w:r>
        <w:fldChar w:fldCharType="separate"/>
      </w:r>
      <w:r>
        <w:t>78</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_Toc1735 </w:instrText>
      </w:r>
      <w:r>
        <w:rPr>
          <w:rFonts w:hint="eastAsia" w:ascii="宋体" w:hAnsi="宋体" w:eastAsia="宋体" w:cs="宋体"/>
          <w:bCs/>
          <w:i w:val="0"/>
          <w:iCs w:val="0"/>
          <w:caps/>
          <w:szCs w:val="24"/>
        </w:rPr>
        <w:fldChar w:fldCharType="separate"/>
      </w:r>
      <w:r>
        <w:rPr>
          <w:rFonts w:hint="eastAsia"/>
          <w:lang w:eastAsia="zh-CN"/>
        </w:rPr>
        <w:t>5</w:t>
      </w:r>
      <w:r>
        <w:rPr>
          <w:lang w:eastAsia="zh-CN"/>
        </w:rPr>
        <w:t>.2整改建议及隐患整改情况</w:t>
      </w:r>
      <w:r>
        <w:tab/>
      </w:r>
      <w:r>
        <w:fldChar w:fldCharType="begin"/>
      </w:r>
      <w:r>
        <w:instrText xml:space="preserve"> PAGEREF _Toc1735 \h </w:instrText>
      </w:r>
      <w:r>
        <w:fldChar w:fldCharType="separate"/>
      </w:r>
      <w:r>
        <w:t>80</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_Toc10084 </w:instrText>
      </w:r>
      <w:r>
        <w:rPr>
          <w:rFonts w:hint="eastAsia" w:ascii="宋体" w:hAnsi="宋体" w:eastAsia="宋体" w:cs="宋体"/>
          <w:bCs/>
          <w:i w:val="0"/>
          <w:iCs w:val="0"/>
          <w:caps/>
          <w:szCs w:val="24"/>
        </w:rPr>
        <w:fldChar w:fldCharType="separate"/>
      </w:r>
      <w:r>
        <w:rPr>
          <w:rFonts w:hint="eastAsia"/>
          <w:lang w:eastAsia="zh-CN"/>
        </w:rPr>
        <w:t>5.2.1现场隐患整改建议</w:t>
      </w:r>
      <w:r>
        <w:tab/>
      </w:r>
      <w:r>
        <w:fldChar w:fldCharType="begin"/>
      </w:r>
      <w:r>
        <w:instrText xml:space="preserve"> PAGEREF _Toc10084 \h </w:instrText>
      </w:r>
      <w:r>
        <w:fldChar w:fldCharType="separate"/>
      </w:r>
      <w:r>
        <w:t>80</w:t>
      </w:r>
      <w:r>
        <w:fldChar w:fldCharType="end"/>
      </w:r>
      <w:r>
        <w:rPr>
          <w:rFonts w:hint="eastAsia" w:ascii="宋体" w:hAnsi="宋体" w:eastAsia="宋体" w:cs="宋体"/>
          <w:bCs/>
          <w:i w:val="0"/>
          <w:iCs w:val="0"/>
          <w:caps/>
          <w:color w:val="auto"/>
          <w:szCs w:val="24"/>
        </w:rPr>
        <w:fldChar w:fldCharType="end"/>
      </w:r>
    </w:p>
    <w:p>
      <w:pPr>
        <w:pStyle w:val="18"/>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_Toc27202 </w:instrText>
      </w:r>
      <w:r>
        <w:rPr>
          <w:rFonts w:hint="eastAsia" w:ascii="宋体" w:hAnsi="宋体" w:eastAsia="宋体" w:cs="宋体"/>
          <w:bCs/>
          <w:i w:val="0"/>
          <w:iCs w:val="0"/>
          <w:caps/>
          <w:szCs w:val="24"/>
        </w:rPr>
        <w:fldChar w:fldCharType="separate"/>
      </w:r>
      <w:r>
        <w:rPr>
          <w:rFonts w:hint="eastAsia"/>
          <w:lang w:val="en-US" w:eastAsia="zh-CN"/>
        </w:rPr>
        <w:t>5</w:t>
      </w:r>
      <w:r>
        <w:rPr>
          <w:rFonts w:hint="eastAsia"/>
          <w:lang w:eastAsia="zh-CN"/>
        </w:rPr>
        <w:t>.</w:t>
      </w:r>
      <w:r>
        <w:rPr>
          <w:rFonts w:hint="eastAsia"/>
          <w:lang w:val="en-US" w:eastAsia="zh-CN"/>
        </w:rPr>
        <w:t>2</w:t>
      </w:r>
      <w:r>
        <w:rPr>
          <w:rFonts w:hint="eastAsia"/>
          <w:lang w:eastAsia="zh-CN"/>
        </w:rPr>
        <w:t>.2整改完成情况</w:t>
      </w:r>
      <w:r>
        <w:tab/>
      </w:r>
      <w:r>
        <w:fldChar w:fldCharType="begin"/>
      </w:r>
      <w:r>
        <w:instrText xml:space="preserve"> PAGEREF _Toc27202 \h </w:instrText>
      </w:r>
      <w:r>
        <w:fldChar w:fldCharType="separate"/>
      </w:r>
      <w:r>
        <w:t>80</w:t>
      </w:r>
      <w:r>
        <w:fldChar w:fldCharType="end"/>
      </w:r>
      <w:r>
        <w:rPr>
          <w:rFonts w:hint="eastAsia" w:ascii="宋体" w:hAnsi="宋体" w:eastAsia="宋体" w:cs="宋体"/>
          <w:bCs/>
          <w:i w:val="0"/>
          <w:iCs w:val="0"/>
          <w:caps/>
          <w:color w:val="auto"/>
          <w:szCs w:val="24"/>
        </w:rPr>
        <w:fldChar w:fldCharType="end"/>
      </w:r>
    </w:p>
    <w:p>
      <w:pPr>
        <w:pStyle w:val="25"/>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_Toc2935 </w:instrText>
      </w:r>
      <w:r>
        <w:rPr>
          <w:rFonts w:hint="eastAsia" w:ascii="宋体" w:hAnsi="宋体" w:eastAsia="宋体" w:cs="宋体"/>
          <w:bCs/>
          <w:i w:val="0"/>
          <w:iCs w:val="0"/>
          <w:caps/>
          <w:szCs w:val="24"/>
        </w:rPr>
        <w:fldChar w:fldCharType="separate"/>
      </w:r>
      <w:r>
        <w:rPr>
          <w:rFonts w:hint="eastAsia"/>
          <w:lang w:eastAsia="zh-CN"/>
        </w:rPr>
        <w:t>第6章</w:t>
      </w:r>
      <w:r>
        <w:rPr>
          <w:rFonts w:hint="eastAsia"/>
          <w:lang w:val="en-US" w:eastAsia="zh-CN"/>
        </w:rPr>
        <w:t xml:space="preserve">  </w:t>
      </w:r>
      <w:r>
        <w:rPr>
          <w:rFonts w:hint="eastAsia"/>
          <w:lang w:eastAsia="zh-CN"/>
        </w:rPr>
        <w:t>安全现状</w:t>
      </w:r>
      <w:r>
        <w:rPr>
          <w:lang w:eastAsia="zh-CN"/>
        </w:rPr>
        <w:t>评价结论</w:t>
      </w:r>
      <w:r>
        <w:tab/>
      </w:r>
      <w:r>
        <w:fldChar w:fldCharType="begin"/>
      </w:r>
      <w:r>
        <w:instrText xml:space="preserve"> PAGEREF _Toc2935 \h </w:instrText>
      </w:r>
      <w:r>
        <w:fldChar w:fldCharType="separate"/>
      </w:r>
      <w:r>
        <w:t>81</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_Toc8858 </w:instrText>
      </w:r>
      <w:r>
        <w:rPr>
          <w:rFonts w:hint="eastAsia" w:ascii="宋体" w:hAnsi="宋体" w:eastAsia="宋体" w:cs="宋体"/>
          <w:bCs/>
          <w:i w:val="0"/>
          <w:iCs w:val="0"/>
          <w:caps/>
          <w:szCs w:val="24"/>
        </w:rPr>
        <w:fldChar w:fldCharType="separate"/>
      </w:r>
      <w:r>
        <w:rPr>
          <w:rFonts w:hint="eastAsia"/>
          <w:lang w:eastAsia="zh-CN"/>
        </w:rPr>
        <w:t>6.1项目存在的主要危险有害因素</w:t>
      </w:r>
      <w:r>
        <w:tab/>
      </w:r>
      <w:r>
        <w:fldChar w:fldCharType="begin"/>
      </w:r>
      <w:r>
        <w:instrText xml:space="preserve"> PAGEREF _Toc8858 \h </w:instrText>
      </w:r>
      <w:r>
        <w:fldChar w:fldCharType="separate"/>
      </w:r>
      <w:r>
        <w:t>81</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_Toc1123 </w:instrText>
      </w:r>
      <w:r>
        <w:rPr>
          <w:rFonts w:hint="eastAsia" w:ascii="宋体" w:hAnsi="宋体" w:eastAsia="宋体" w:cs="宋体"/>
          <w:bCs/>
          <w:i w:val="0"/>
          <w:iCs w:val="0"/>
          <w:caps/>
          <w:szCs w:val="24"/>
        </w:rPr>
        <w:fldChar w:fldCharType="separate"/>
      </w:r>
      <w:r>
        <w:rPr>
          <w:rFonts w:hint="eastAsia"/>
          <w:lang w:eastAsia="zh-CN"/>
        </w:rPr>
        <w:t>6.2项目应重点防范的重大危险、有害因素</w:t>
      </w:r>
      <w:r>
        <w:tab/>
      </w:r>
      <w:r>
        <w:fldChar w:fldCharType="begin"/>
      </w:r>
      <w:r>
        <w:instrText xml:space="preserve"> PAGEREF _Toc1123 \h </w:instrText>
      </w:r>
      <w:r>
        <w:fldChar w:fldCharType="separate"/>
      </w:r>
      <w:r>
        <w:t>82</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_Toc25374 </w:instrText>
      </w:r>
      <w:r>
        <w:rPr>
          <w:rFonts w:hint="eastAsia" w:ascii="宋体" w:hAnsi="宋体" w:eastAsia="宋体" w:cs="宋体"/>
          <w:bCs/>
          <w:i w:val="0"/>
          <w:iCs w:val="0"/>
          <w:caps/>
          <w:szCs w:val="24"/>
        </w:rPr>
        <w:fldChar w:fldCharType="separate"/>
      </w:r>
      <w:r>
        <w:rPr>
          <w:rFonts w:hint="eastAsia"/>
          <w:lang w:eastAsia="zh-CN"/>
        </w:rPr>
        <w:t>6.3项目应重视的安全对策措施建议</w:t>
      </w:r>
      <w:r>
        <w:tab/>
      </w:r>
      <w:r>
        <w:fldChar w:fldCharType="begin"/>
      </w:r>
      <w:r>
        <w:instrText xml:space="preserve"> PAGEREF _Toc25374 \h </w:instrText>
      </w:r>
      <w:r>
        <w:fldChar w:fldCharType="separate"/>
      </w:r>
      <w:r>
        <w:t>82</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_Toc3478 </w:instrText>
      </w:r>
      <w:r>
        <w:rPr>
          <w:rFonts w:hint="eastAsia" w:ascii="宋体" w:hAnsi="宋体" w:eastAsia="宋体" w:cs="宋体"/>
          <w:bCs/>
          <w:i w:val="0"/>
          <w:iCs w:val="0"/>
          <w:caps/>
          <w:szCs w:val="24"/>
        </w:rPr>
        <w:fldChar w:fldCharType="separate"/>
      </w:r>
      <w:r>
        <w:rPr>
          <w:rFonts w:hint="eastAsia"/>
          <w:lang w:eastAsia="zh-CN"/>
        </w:rPr>
        <w:t>6.4安全现状评价结论</w:t>
      </w:r>
      <w:r>
        <w:tab/>
      </w:r>
      <w:r>
        <w:fldChar w:fldCharType="begin"/>
      </w:r>
      <w:r>
        <w:instrText xml:space="preserve"> PAGEREF _Toc3478 \h </w:instrText>
      </w:r>
      <w:r>
        <w:fldChar w:fldCharType="separate"/>
      </w:r>
      <w:r>
        <w:t>82</w:t>
      </w:r>
      <w:r>
        <w:fldChar w:fldCharType="end"/>
      </w:r>
      <w:r>
        <w:rPr>
          <w:rFonts w:hint="eastAsia" w:ascii="宋体" w:hAnsi="宋体" w:eastAsia="宋体" w:cs="宋体"/>
          <w:bCs/>
          <w:i w:val="0"/>
          <w:iCs w:val="0"/>
          <w:caps/>
          <w:color w:val="auto"/>
          <w:szCs w:val="24"/>
        </w:rPr>
        <w:fldChar w:fldCharType="end"/>
      </w:r>
    </w:p>
    <w:p>
      <w:pPr>
        <w:pStyle w:val="25"/>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_Toc357 </w:instrText>
      </w:r>
      <w:r>
        <w:rPr>
          <w:rFonts w:hint="eastAsia" w:ascii="宋体" w:hAnsi="宋体" w:eastAsia="宋体" w:cs="宋体"/>
          <w:bCs/>
          <w:i w:val="0"/>
          <w:iCs w:val="0"/>
          <w:caps/>
          <w:szCs w:val="24"/>
        </w:rPr>
        <w:fldChar w:fldCharType="separate"/>
      </w:r>
      <w:r>
        <w:rPr>
          <w:rFonts w:hint="eastAsia"/>
          <w:lang w:val="en-US" w:eastAsia="zh-CN"/>
        </w:rPr>
        <w:t xml:space="preserve">第7章  </w:t>
      </w:r>
      <w:r>
        <w:rPr>
          <w:rFonts w:hint="eastAsia"/>
          <w:lang w:eastAsia="zh-CN"/>
        </w:rPr>
        <w:t>附件及附图</w:t>
      </w:r>
      <w:r>
        <w:tab/>
      </w:r>
      <w:r>
        <w:fldChar w:fldCharType="begin"/>
      </w:r>
      <w:r>
        <w:instrText xml:space="preserve"> PAGEREF _Toc357 \h </w:instrText>
      </w:r>
      <w:r>
        <w:fldChar w:fldCharType="separate"/>
      </w:r>
      <w:r>
        <w:t>84</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_Toc14017 </w:instrText>
      </w:r>
      <w:r>
        <w:rPr>
          <w:rFonts w:hint="eastAsia" w:ascii="宋体" w:hAnsi="宋体" w:eastAsia="宋体" w:cs="宋体"/>
          <w:bCs/>
          <w:i w:val="0"/>
          <w:iCs w:val="0"/>
          <w:caps/>
          <w:szCs w:val="24"/>
        </w:rPr>
        <w:fldChar w:fldCharType="separate"/>
      </w:r>
      <w:r>
        <w:rPr>
          <w:rFonts w:hint="eastAsia"/>
          <w:lang w:val="en-US" w:eastAsia="zh-CN"/>
        </w:rPr>
        <w:t>7.1</w:t>
      </w:r>
      <w:r>
        <w:rPr>
          <w:rFonts w:hint="eastAsia"/>
          <w:lang w:eastAsia="zh-CN"/>
        </w:rPr>
        <w:t>附件</w:t>
      </w:r>
      <w:r>
        <w:tab/>
      </w:r>
      <w:r>
        <w:fldChar w:fldCharType="begin"/>
      </w:r>
      <w:r>
        <w:instrText xml:space="preserve"> PAGEREF _Toc14017 \h </w:instrText>
      </w:r>
      <w:r>
        <w:fldChar w:fldCharType="separate"/>
      </w:r>
      <w:r>
        <w:t>84</w:t>
      </w:r>
      <w:r>
        <w:fldChar w:fldCharType="end"/>
      </w:r>
      <w:r>
        <w:rPr>
          <w:rFonts w:hint="eastAsia" w:ascii="宋体" w:hAnsi="宋体" w:eastAsia="宋体" w:cs="宋体"/>
          <w:bCs/>
          <w:i w:val="0"/>
          <w:iCs w:val="0"/>
          <w:caps/>
          <w:color w:val="auto"/>
          <w:szCs w:val="24"/>
        </w:rPr>
        <w:fldChar w:fldCharType="end"/>
      </w:r>
    </w:p>
    <w:p>
      <w:pPr>
        <w:pStyle w:val="29"/>
        <w:tabs>
          <w:tab w:val="right" w:leader="dot" w:pos="9073"/>
        </w:tabs>
      </w:pPr>
      <w:r>
        <w:rPr>
          <w:rFonts w:hint="eastAsia" w:ascii="宋体" w:hAnsi="宋体" w:eastAsia="宋体" w:cs="宋体"/>
          <w:bCs/>
          <w:i w:val="0"/>
          <w:iCs w:val="0"/>
          <w:caps/>
          <w:color w:val="auto"/>
          <w:szCs w:val="24"/>
        </w:rPr>
        <w:fldChar w:fldCharType="begin"/>
      </w:r>
      <w:r>
        <w:rPr>
          <w:rFonts w:hint="eastAsia" w:ascii="宋体" w:hAnsi="宋体" w:eastAsia="宋体" w:cs="宋体"/>
          <w:bCs/>
          <w:i w:val="0"/>
          <w:iCs w:val="0"/>
          <w:caps/>
          <w:szCs w:val="24"/>
        </w:rPr>
        <w:instrText xml:space="preserve"> HYPERLINK \l _Toc25860 </w:instrText>
      </w:r>
      <w:r>
        <w:rPr>
          <w:rFonts w:hint="eastAsia" w:ascii="宋体" w:hAnsi="宋体" w:eastAsia="宋体" w:cs="宋体"/>
          <w:bCs/>
          <w:i w:val="0"/>
          <w:iCs w:val="0"/>
          <w:caps/>
          <w:szCs w:val="24"/>
        </w:rPr>
        <w:fldChar w:fldCharType="separate"/>
      </w:r>
      <w:r>
        <w:rPr>
          <w:rFonts w:hint="eastAsia"/>
          <w:lang w:val="en-US" w:eastAsia="zh-CN"/>
        </w:rPr>
        <w:t>7.2</w:t>
      </w:r>
      <w:r>
        <w:rPr>
          <w:rFonts w:hint="eastAsia"/>
          <w:lang w:eastAsia="zh-CN"/>
        </w:rPr>
        <w:t>附图</w:t>
      </w:r>
      <w:r>
        <w:tab/>
      </w:r>
      <w:r>
        <w:fldChar w:fldCharType="begin"/>
      </w:r>
      <w:r>
        <w:instrText xml:space="preserve"> PAGEREF _Toc25860 \h </w:instrText>
      </w:r>
      <w:r>
        <w:fldChar w:fldCharType="separate"/>
      </w:r>
      <w:r>
        <w:t>84</w:t>
      </w:r>
      <w:r>
        <w:fldChar w:fldCharType="end"/>
      </w:r>
      <w:r>
        <w:rPr>
          <w:rFonts w:hint="eastAsia" w:ascii="宋体" w:hAnsi="宋体" w:eastAsia="宋体" w:cs="宋体"/>
          <w:bCs/>
          <w:i w:val="0"/>
          <w:iCs w:val="0"/>
          <w:caps/>
          <w:color w:val="auto"/>
          <w:szCs w:val="24"/>
        </w:rPr>
        <w:fldChar w:fldCharType="end"/>
      </w:r>
    </w:p>
    <w:p>
      <w:pPr>
        <w:keepNext w:val="0"/>
        <w:keepLines/>
        <w:pageBreakBefore/>
        <w:widowControl w:val="0"/>
        <w:shd w:val="clear" w:color="auto" w:fill="FFFFFF"/>
        <w:tabs>
          <w:tab w:val="left" w:pos="1173"/>
        </w:tabs>
        <w:kinsoku/>
        <w:wordWrap/>
        <w:overflowPunct/>
        <w:topLinePunct w:val="0"/>
        <w:autoSpaceDE/>
        <w:autoSpaceDN/>
        <w:bidi w:val="0"/>
        <w:adjustRightInd w:val="0"/>
        <w:snapToGrid w:val="0"/>
        <w:spacing w:after="120" w:line="500" w:lineRule="exact"/>
        <w:ind w:left="0" w:leftChars="0" w:firstLine="0" w:firstLineChars="0"/>
        <w:jc w:val="center"/>
        <w:textAlignment w:val="auto"/>
        <w:outlineLvl w:val="0"/>
        <w:rPr>
          <w:rFonts w:hint="eastAsia" w:ascii="Cambria" w:hAnsi="Cambria" w:eastAsia="宋体" w:cs="Times New Roman"/>
          <w:b/>
          <w:bCs/>
          <w:kern w:val="0"/>
          <w:sz w:val="44"/>
          <w:szCs w:val="28"/>
          <w:lang w:val="en-US" w:eastAsia="zh-CN" w:bidi="en-US"/>
        </w:rPr>
      </w:pPr>
      <w:r>
        <w:rPr>
          <w:rFonts w:hint="eastAsia" w:ascii="宋体" w:hAnsi="宋体" w:eastAsia="宋体" w:cs="宋体"/>
          <w:bCs/>
          <w:i w:val="0"/>
          <w:iCs w:val="0"/>
          <w:caps/>
          <w:color w:val="auto"/>
          <w:sz w:val="24"/>
          <w:szCs w:val="24"/>
        </w:rPr>
        <w:fldChar w:fldCharType="end"/>
      </w:r>
      <w:bookmarkStart w:id="37" w:name="_Toc468191301"/>
      <w:bookmarkStart w:id="38" w:name="_Toc453078379"/>
      <w:bookmarkStart w:id="39" w:name="_Toc9100"/>
      <w:bookmarkStart w:id="40" w:name="_Toc350324519"/>
      <w:r>
        <w:rPr>
          <w:rFonts w:hint="eastAsia" w:ascii="Cambria" w:hAnsi="Cambria" w:eastAsia="宋体" w:cs="Times New Roman"/>
          <w:b/>
          <w:bCs/>
          <w:kern w:val="0"/>
          <w:sz w:val="44"/>
          <w:szCs w:val="28"/>
          <w:lang w:val="en-US" w:eastAsia="zh-CN" w:bidi="en-US"/>
        </w:rPr>
        <w:t>第1章  评价范围与依据</w:t>
      </w:r>
      <w:bookmarkEnd w:id="37"/>
      <w:bookmarkEnd w:id="38"/>
      <w:bookmarkEnd w:id="39"/>
    </w:p>
    <w:p>
      <w:pPr>
        <w:pStyle w:val="4"/>
        <w:bidi w:val="0"/>
        <w:rPr>
          <w:rFonts w:hint="eastAsia"/>
          <w:lang w:eastAsia="zh-CN"/>
        </w:rPr>
      </w:pPr>
      <w:bookmarkStart w:id="41" w:name="_Toc468191302"/>
      <w:bookmarkStart w:id="42" w:name="_Toc453078380"/>
      <w:bookmarkStart w:id="43" w:name="_Toc2573"/>
      <w:r>
        <w:rPr>
          <w:rFonts w:hint="eastAsia"/>
          <w:lang w:eastAsia="zh-CN"/>
        </w:rPr>
        <w:t>1.1评价对象和范围</w:t>
      </w:r>
      <w:bookmarkEnd w:id="41"/>
      <w:bookmarkEnd w:id="42"/>
      <w:bookmarkEnd w:id="43"/>
    </w:p>
    <w:p>
      <w:pPr>
        <w:pStyle w:val="5"/>
        <w:bidi w:val="0"/>
        <w:rPr>
          <w:rFonts w:hint="eastAsia" w:ascii="宋体" w:hAnsi="宋体"/>
          <w:color w:val="auto"/>
          <w:kern w:val="2"/>
          <w:szCs w:val="28"/>
          <w:lang w:eastAsia="zh-CN" w:bidi="ar-SA"/>
        </w:rPr>
      </w:pPr>
      <w:bookmarkStart w:id="44" w:name="_Toc102829653"/>
      <w:bookmarkStart w:id="45" w:name="_Toc3164"/>
      <w:r>
        <w:rPr>
          <w:rFonts w:hint="eastAsia"/>
          <w:lang w:eastAsia="zh-CN"/>
        </w:rPr>
        <w:t>1.1.1评价对象</w:t>
      </w:r>
      <w:bookmarkEnd w:id="44"/>
      <w:bookmarkEnd w:id="45"/>
    </w:p>
    <w:bookmarkEnd w:id="40"/>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根据采矿许可证和《安全设施设计》的内容，本次评价的对象为露天开采系统及公用辅助设施。</w:t>
      </w:r>
    </w:p>
    <w:p>
      <w:pPr>
        <w:pStyle w:val="5"/>
        <w:bidi w:val="0"/>
        <w:rPr>
          <w:rFonts w:hint="eastAsia" w:ascii="宋体" w:hAnsi="宋体"/>
          <w:color w:val="auto"/>
          <w:kern w:val="2"/>
          <w:szCs w:val="28"/>
          <w:lang w:eastAsia="zh-CN" w:bidi="ar-SA"/>
        </w:rPr>
      </w:pPr>
      <w:bookmarkStart w:id="46" w:name="_Toc102829654"/>
      <w:bookmarkStart w:id="47" w:name="_Toc26606"/>
      <w:r>
        <w:rPr>
          <w:rFonts w:hint="eastAsia"/>
          <w:lang w:eastAsia="zh-CN"/>
        </w:rPr>
        <w:t>1.1.2评价范围</w:t>
      </w:r>
      <w:bookmarkEnd w:id="46"/>
      <w:bookmarkEnd w:id="47"/>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根据安全评价协议和企业委托书的范围，本次现状评价范围主要针对的露天开采系统的生产现状展开，其范围主要包括该矿山的综合安全管理、总平面布置、开拓运输系统、露天采场、采剥工艺、供配电设施、采场防排水等。</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凡涉及本项目的消防、职业病防治、环保、地质灾害评估以及、矿外运输、破碎加工等都不在本次评价范围之内，但评价报告中会涉及到相关内容，企业应执行国家相关法律、法规、标准和规范要求，委托有相应评价资质的单位承担相应评价。</w:t>
      </w:r>
    </w:p>
    <w:p>
      <w:pPr>
        <w:pStyle w:val="4"/>
        <w:bidi w:val="0"/>
        <w:rPr>
          <w:rFonts w:hint="eastAsia"/>
          <w:lang w:eastAsia="zh-CN"/>
        </w:rPr>
      </w:pPr>
      <w:bookmarkStart w:id="48" w:name="_Toc350324524"/>
      <w:bookmarkStart w:id="49" w:name="_Toc25066"/>
      <w:r>
        <w:rPr>
          <w:rFonts w:hint="eastAsia"/>
          <w:lang w:eastAsia="zh-CN"/>
        </w:rPr>
        <w:t>1.2评价依据</w:t>
      </w:r>
      <w:bookmarkEnd w:id="48"/>
      <w:bookmarkEnd w:id="49"/>
    </w:p>
    <w:p>
      <w:pPr>
        <w:pStyle w:val="5"/>
        <w:bidi w:val="0"/>
        <w:rPr>
          <w:lang w:eastAsia="zh-CN"/>
        </w:rPr>
      </w:pPr>
      <w:bookmarkStart w:id="50" w:name="_Toc30780"/>
      <w:bookmarkStart w:id="51" w:name="_Toc11147"/>
      <w:bookmarkStart w:id="52" w:name="_Toc102829656"/>
      <w:bookmarkStart w:id="53" w:name="_Toc392448619"/>
      <w:bookmarkStart w:id="54" w:name="_Toc398707193"/>
      <w:bookmarkStart w:id="55" w:name="_Toc29007"/>
      <w:r>
        <w:rPr>
          <w:lang w:eastAsia="zh-CN"/>
        </w:rPr>
        <w:t>1.</w:t>
      </w:r>
      <w:r>
        <w:rPr>
          <w:rFonts w:hint="eastAsia"/>
          <w:lang w:eastAsia="zh-CN"/>
        </w:rPr>
        <w:t>2</w:t>
      </w:r>
      <w:r>
        <w:rPr>
          <w:lang w:eastAsia="zh-CN"/>
        </w:rPr>
        <w:t>.1国家法律</w:t>
      </w:r>
      <w:bookmarkEnd w:id="50"/>
      <w:bookmarkEnd w:id="51"/>
      <w:bookmarkEnd w:id="52"/>
      <w:bookmarkEnd w:id="53"/>
      <w:bookmarkEnd w:id="54"/>
      <w:bookmarkEnd w:id="55"/>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1.《中华人民共和国安全生产法》（中华人民共和国主席令第88号，自2021年9月1日起施行）；</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2．《中华人民共和国矿山安全法》（中华人民共和国第18号令修订，2009年08月27日施行）；</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3．《中华人民共和国突发事件应对法》（国家主席令第69号，自2007年11月1日起施行）；</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4．《中华人民共和国消防法》（2019年4月23日第十三届全国人民代表大会常务委员会第十次会议《关于修改〈中华人民共和国建筑法〉等八部法律的决定》修正，自2021年4月29日起施行）；</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5．《中华人民共和国劳动合同法》（中华人民共和国主席令［2012］73号，自2013年7月1日起施行）；</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6．《中华人民共和国矿产资源法》（中华人民共和国主席令[1996]74号，自1996年8月29日起施行）；</w:t>
      </w:r>
      <w:r>
        <w:rPr>
          <w:rStyle w:val="114"/>
          <w:rFonts w:hint="eastAsia" w:ascii="宋体" w:hAnsi="宋体" w:eastAsia="宋体" w:cs="宋体"/>
          <w:color w:val="auto"/>
          <w:kern w:val="0"/>
          <w:sz w:val="28"/>
          <w:szCs w:val="28"/>
          <w:lang w:val="zh-TW" w:eastAsia="zh-TW" w:bidi="ar-SA"/>
        </w:rPr>
        <w:cr/>
      </w:r>
      <w:r>
        <w:rPr>
          <w:rStyle w:val="114"/>
          <w:rFonts w:hint="eastAsia" w:ascii="宋体" w:hAnsi="宋体" w:eastAsia="宋体" w:cs="宋体"/>
          <w:color w:val="auto"/>
          <w:kern w:val="0"/>
          <w:sz w:val="28"/>
          <w:szCs w:val="28"/>
          <w:lang w:val="zh-TW" w:eastAsia="zh-TW" w:bidi="ar-SA"/>
        </w:rPr>
        <w:t>7.《中华人民共和国突发事件应对法》（中华人民共和国主席令第69号，自2007年11月1日起施行）；</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8．《中华人民共和国劳动法》（中华人民共和国主席令第〔2012〕73号，自2013年7月1日起施行）；</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9．《中华人民共和国环境保护法》（中华人民共和国主席令第9号，自2015年1月1日起施行）；</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10．《中华人民共和国职业病防治法》（中华人民共和国主席令第24号，2018年12月29日第三次修正）。</w:t>
      </w:r>
    </w:p>
    <w:p>
      <w:pPr>
        <w:pStyle w:val="5"/>
        <w:bidi w:val="0"/>
        <w:rPr>
          <w:lang w:eastAsia="zh-CN"/>
        </w:rPr>
      </w:pPr>
      <w:bookmarkStart w:id="56" w:name="_Toc30895"/>
      <w:bookmarkStart w:id="57" w:name="_Toc398707194"/>
      <w:bookmarkStart w:id="58" w:name="_Toc102829658"/>
      <w:bookmarkStart w:id="59" w:name="_Toc392448620"/>
      <w:bookmarkStart w:id="60" w:name="_Toc2275"/>
      <w:bookmarkStart w:id="61" w:name="_Toc8388"/>
      <w:r>
        <w:rPr>
          <w:lang w:eastAsia="zh-CN"/>
        </w:rPr>
        <w:t>1.</w:t>
      </w:r>
      <w:r>
        <w:rPr>
          <w:rFonts w:hint="eastAsia"/>
          <w:lang w:eastAsia="zh-CN"/>
        </w:rPr>
        <w:t>2</w:t>
      </w:r>
      <w:r>
        <w:rPr>
          <w:lang w:eastAsia="zh-CN"/>
        </w:rPr>
        <w:t>.2行政法规</w:t>
      </w:r>
      <w:bookmarkEnd w:id="56"/>
      <w:bookmarkEnd w:id="57"/>
      <w:bookmarkEnd w:id="58"/>
      <w:bookmarkEnd w:id="59"/>
      <w:bookmarkEnd w:id="60"/>
      <w:bookmarkEnd w:id="61"/>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1．《中华人民共和国矿山安全法实施条例》（中华人民共和国劳动部令[1996]4号，自1996年10月30日起施行）；</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2．《安全生产许可证条例》（根据2014年7月9日国务院第54次常务会议通过2014年7月29日中华人民共和国国务院令第653号公布 自公布之日起施行的《国务院关于修改部分行政法规的决定》第二次修正）；</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3．《地质灾害防治条例》（国务院令第394号令，自2004年3月1日起施行）；</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4．《生产安全事故报告和调查处理条例》（中华人民共和国国务院令第493号，自2007年6月1日起施行）；</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5．《特种设备安全监察条例》（中华人民共和国国务院令第549号，自2009年5月1日起施行）；</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6．《工伤保险条例》（中华人民共和国国务院令[2011]586号，自2011年1月1日起施行）；</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7．《公路安全保护条例》（中华人民共和国国务院令第593号，自2011年7月1日起施行）。</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8.《生产安全事故应急条例》（中华人民共和国国务院令第708号，自2019年4月1日起施行）。</w:t>
      </w:r>
    </w:p>
    <w:p>
      <w:pPr>
        <w:pStyle w:val="5"/>
        <w:bidi w:val="0"/>
        <w:rPr>
          <w:lang w:eastAsia="zh-CN"/>
        </w:rPr>
      </w:pPr>
      <w:bookmarkStart w:id="62" w:name="_Toc102829659"/>
      <w:bookmarkStart w:id="63" w:name="_Toc392448621"/>
      <w:bookmarkStart w:id="64" w:name="_Toc24602"/>
      <w:bookmarkStart w:id="65" w:name="_Toc18047"/>
      <w:bookmarkStart w:id="66" w:name="_Toc398707195"/>
      <w:bookmarkStart w:id="67" w:name="_Toc14444"/>
      <w:r>
        <w:rPr>
          <w:lang w:eastAsia="zh-CN"/>
        </w:rPr>
        <w:t>1.</w:t>
      </w:r>
      <w:r>
        <w:rPr>
          <w:rFonts w:hint="eastAsia"/>
          <w:lang w:eastAsia="zh-CN"/>
        </w:rPr>
        <w:t>2</w:t>
      </w:r>
      <w:r>
        <w:rPr>
          <w:lang w:eastAsia="zh-CN"/>
        </w:rPr>
        <w:t>.3部门规章</w:t>
      </w:r>
      <w:bookmarkEnd w:id="62"/>
      <w:bookmarkEnd w:id="63"/>
      <w:bookmarkEnd w:id="64"/>
      <w:bookmarkEnd w:id="65"/>
      <w:bookmarkEnd w:id="66"/>
      <w:bookmarkEnd w:id="67"/>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1．《安全生产事故隐患排查治理暂行规定》（国家安全生产监督管理总局令[2008]16号，自2008年1月1日起施行；</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2．《非煤矿山企业安全生产许可证实施办法》（2009年6月8日国家安全监管总局令第20号公布，根据2015年5月26日国家安全监管总局令第78号修正）；</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3．《建设项目安全设施“三同时”监督管理办法》（2010年12月14日国家安全监管总局令第36号公布，根据2015年4月2日国家安全监管总局令第77号修正）；</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4.《关于印发&lt;企业安全生产费用提取和使用管理办法</w:t>
      </w:r>
      <w:r>
        <w:rPr>
          <w:rStyle w:val="114"/>
          <w:rFonts w:hint="eastAsia" w:ascii="宋体" w:hAnsi="宋体" w:eastAsia="宋体" w:cs="宋体"/>
          <w:color w:val="auto"/>
          <w:kern w:val="0"/>
          <w:sz w:val="28"/>
          <w:szCs w:val="28"/>
          <w:lang w:val="zh-TW" w:eastAsia="zh-CN" w:bidi="ar-SA"/>
        </w:rPr>
        <w:t>〉</w:t>
      </w:r>
      <w:r>
        <w:rPr>
          <w:rStyle w:val="114"/>
          <w:rFonts w:hint="eastAsia" w:ascii="宋体" w:hAnsi="宋体" w:eastAsia="宋体" w:cs="宋体"/>
          <w:color w:val="auto"/>
          <w:kern w:val="0"/>
          <w:sz w:val="28"/>
          <w:szCs w:val="28"/>
          <w:lang w:val="zh-TW" w:eastAsia="zh-TW" w:bidi="ar-SA"/>
        </w:rPr>
        <w:t>的通知》（财资</w:t>
      </w:r>
      <w:r>
        <w:rPr>
          <w:rStyle w:val="114"/>
          <w:rFonts w:hint="eastAsia" w:ascii="宋体" w:hAnsi="宋体" w:eastAsia="宋体" w:cs="宋体"/>
          <w:color w:val="auto"/>
          <w:kern w:val="0"/>
          <w:sz w:val="28"/>
          <w:szCs w:val="28"/>
          <w:lang w:val="zh-TW" w:eastAsia="zh-CN" w:bidi="ar-SA"/>
        </w:rPr>
        <w:t>〔</w:t>
      </w:r>
      <w:r>
        <w:rPr>
          <w:rStyle w:val="114"/>
          <w:rFonts w:hint="eastAsia" w:ascii="宋体" w:hAnsi="宋体" w:eastAsia="宋体" w:cs="宋体"/>
          <w:color w:val="auto"/>
          <w:kern w:val="0"/>
          <w:sz w:val="28"/>
          <w:szCs w:val="28"/>
          <w:lang w:val="zh-TW" w:eastAsia="zh-TW" w:bidi="ar-SA"/>
        </w:rPr>
        <w:t>2022</w:t>
      </w:r>
      <w:r>
        <w:rPr>
          <w:rStyle w:val="114"/>
          <w:rFonts w:hint="eastAsia" w:ascii="宋体" w:hAnsi="宋体" w:eastAsia="宋体" w:cs="宋体"/>
          <w:color w:val="auto"/>
          <w:kern w:val="0"/>
          <w:sz w:val="28"/>
          <w:szCs w:val="28"/>
          <w:lang w:val="zh-TW" w:eastAsia="zh-CN" w:bidi="ar-SA"/>
        </w:rPr>
        <w:t>〕</w:t>
      </w:r>
      <w:r>
        <w:rPr>
          <w:rStyle w:val="114"/>
          <w:rFonts w:hint="eastAsia" w:ascii="宋体" w:hAnsi="宋体" w:eastAsia="宋体" w:cs="宋体"/>
          <w:color w:val="auto"/>
          <w:kern w:val="0"/>
          <w:sz w:val="28"/>
          <w:szCs w:val="28"/>
          <w:lang w:val="zh-TW" w:eastAsia="zh-TW" w:bidi="ar-SA"/>
        </w:rPr>
        <w:t>136号，2022年12月12日）；</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5.《国家安全监管总局关于修改〈生产经营单位安全培训规定〉等11件规章的决定》（国家安全生产监督管理总局令第63号）；</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6.《工作场所职业卫生监督管理规定》国家安全生产监督管理总局令第47号；</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7.《国家安全监管总局关于严防十类非煤矿山生产安全事故的通知》（安监总管一〔2014〕48号，自2014年5月28日起施行）；</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8.《特种作业人员安全技术培训考核管理规定》国家安全生产监督管理总局令第30号，2013年8月29日国家安全监管总局令第63号第一次修正，2015年5月29日国家安全监管总局令第80号第二次修正）；</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9.《国家安全监管总局关于废止和修改非煤矿矿山领域九部规章的决定》（国家安全生产监督管理总局令第78号，自2015年7月1日起施行）；</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10.《国家安全监管总局关于废止和修改劳动防护用品和安全培训等领域十部规章的决定》（国家安全生产监督管理总局令第80号，自2015年7月1日起施行）；</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11.《非煤矿山外包工程安全管理暂行办法》（国家安全生产监督管理总局令第62号，第78号修改，2015年7月1日施行）；</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12.《生产安全事故应急预案管理办法》（国家应急管理局令第88号，应急管理部令第2号修改，自2019年9月1日起施行）；</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en-US" w:eastAsia="zh-CN" w:bidi="ar-SA"/>
        </w:rPr>
      </w:pPr>
      <w:r>
        <w:rPr>
          <w:rStyle w:val="114"/>
          <w:rFonts w:hint="eastAsia" w:ascii="宋体" w:hAnsi="宋体" w:eastAsia="宋体" w:cs="宋体"/>
          <w:color w:val="auto"/>
          <w:kern w:val="0"/>
          <w:sz w:val="28"/>
          <w:szCs w:val="28"/>
          <w:lang w:val="zh-TW" w:eastAsia="zh-TW" w:bidi="ar-SA"/>
        </w:rPr>
        <w:t>13.</w:t>
      </w:r>
      <w:r>
        <w:rPr>
          <w:rStyle w:val="114"/>
          <w:rFonts w:hint="eastAsia" w:ascii="宋体" w:hAnsi="宋体" w:eastAsia="宋体" w:cs="宋体"/>
          <w:color w:val="auto"/>
          <w:kern w:val="0"/>
          <w:sz w:val="28"/>
          <w:szCs w:val="28"/>
          <w:lang w:val="en-US" w:eastAsia="zh-CN" w:bidi="ar-SA"/>
        </w:rPr>
        <w:t>《金属非金属矿山重大事故隐患判定标准》矿安〔2022〕88号；</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en-US" w:eastAsia="zh-CN" w:bidi="ar-SA"/>
        </w:rPr>
      </w:pPr>
      <w:r>
        <w:rPr>
          <w:rStyle w:val="114"/>
          <w:rFonts w:hint="eastAsia" w:ascii="宋体" w:hAnsi="宋体" w:eastAsia="宋体" w:cs="宋体"/>
          <w:color w:val="auto"/>
          <w:kern w:val="0"/>
          <w:sz w:val="28"/>
          <w:szCs w:val="28"/>
          <w:lang w:val="en-US" w:eastAsia="zh-CN" w:bidi="ar-SA"/>
        </w:rPr>
        <w:t>14.《关于加强非煤矿山安全生产工作的指导意见》矿安〔2022〕4号</w:t>
      </w:r>
      <w:r>
        <w:rPr>
          <w:rStyle w:val="114"/>
          <w:rFonts w:hint="eastAsia" w:ascii="宋体" w:hAnsi="宋体" w:cs="宋体"/>
          <w:color w:val="auto"/>
          <w:kern w:val="0"/>
          <w:sz w:val="28"/>
          <w:szCs w:val="28"/>
          <w:lang w:val="en-US" w:eastAsia="zh-CN" w:bidi="ar-SA"/>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CN" w:bidi="ar-SA"/>
        </w:rPr>
      </w:pPr>
      <w:r>
        <w:rPr>
          <w:rStyle w:val="114"/>
          <w:rFonts w:hint="eastAsia" w:ascii="宋体" w:hAnsi="宋体" w:eastAsia="宋体" w:cs="宋体"/>
          <w:color w:val="auto"/>
          <w:kern w:val="0"/>
          <w:sz w:val="28"/>
          <w:szCs w:val="28"/>
          <w:lang w:val="en-US" w:eastAsia="zh-CN" w:bidi="ar-SA"/>
        </w:rPr>
        <w:t>1</w:t>
      </w:r>
      <w:r>
        <w:rPr>
          <w:rStyle w:val="114"/>
          <w:rFonts w:hint="eastAsia" w:ascii="宋体" w:hAnsi="宋体" w:cs="宋体"/>
          <w:color w:val="auto"/>
          <w:kern w:val="0"/>
          <w:sz w:val="28"/>
          <w:szCs w:val="28"/>
          <w:lang w:val="en-US" w:eastAsia="zh-CN" w:bidi="ar-SA"/>
        </w:rPr>
        <w:t>5</w:t>
      </w:r>
      <w:r>
        <w:rPr>
          <w:rStyle w:val="114"/>
          <w:rFonts w:hint="eastAsia" w:ascii="宋体" w:hAnsi="宋体" w:eastAsia="宋体" w:cs="宋体"/>
          <w:color w:val="auto"/>
          <w:kern w:val="0"/>
          <w:sz w:val="28"/>
          <w:szCs w:val="28"/>
          <w:lang w:val="en-US" w:eastAsia="zh-CN" w:bidi="ar-SA"/>
        </w:rPr>
        <w:t>.</w:t>
      </w:r>
      <w:r>
        <w:rPr>
          <w:rStyle w:val="114"/>
          <w:rFonts w:hint="eastAsia" w:ascii="宋体" w:hAnsi="宋体" w:eastAsia="宋体" w:cs="宋体"/>
          <w:color w:val="auto"/>
          <w:kern w:val="0"/>
          <w:sz w:val="28"/>
          <w:szCs w:val="28"/>
          <w:lang w:val="zh-TW" w:eastAsia="zh-TW" w:bidi="ar-SA"/>
        </w:rPr>
        <w:t>《金属非金属矿山重大事故隐患判定标准补充情形》</w:t>
      </w:r>
      <w:r>
        <w:rPr>
          <w:rStyle w:val="114"/>
          <w:rFonts w:hint="eastAsia" w:ascii="宋体" w:hAnsi="宋体" w:eastAsia="宋体" w:cs="宋体"/>
          <w:color w:val="auto"/>
          <w:kern w:val="0"/>
          <w:sz w:val="28"/>
          <w:szCs w:val="28"/>
          <w:lang w:val="zh-TW" w:eastAsia="zh-CN" w:bidi="ar-SA"/>
        </w:rPr>
        <w:t>（</w:t>
      </w:r>
      <w:r>
        <w:rPr>
          <w:rStyle w:val="114"/>
          <w:rFonts w:hint="eastAsia" w:ascii="宋体" w:hAnsi="宋体" w:eastAsia="宋体" w:cs="宋体"/>
          <w:color w:val="auto"/>
          <w:kern w:val="0"/>
          <w:sz w:val="28"/>
          <w:szCs w:val="28"/>
          <w:lang w:val="zh-TW" w:eastAsia="zh-TW" w:bidi="ar-SA"/>
        </w:rPr>
        <w:t>矿安〔2024〕41号</w:t>
      </w:r>
      <w:r>
        <w:rPr>
          <w:rStyle w:val="114"/>
          <w:rFonts w:hint="eastAsia" w:ascii="宋体" w:hAnsi="宋体" w:eastAsia="宋体" w:cs="宋体"/>
          <w:color w:val="auto"/>
          <w:kern w:val="0"/>
          <w:sz w:val="28"/>
          <w:szCs w:val="28"/>
          <w:lang w:val="zh-TW" w:eastAsia="zh-CN" w:bidi="ar-SA"/>
        </w:rPr>
        <w:t>）</w:t>
      </w:r>
      <w:r>
        <w:rPr>
          <w:rStyle w:val="114"/>
          <w:rFonts w:hint="eastAsia" w:ascii="宋体" w:hAnsi="宋体" w:cs="宋体"/>
          <w:color w:val="auto"/>
          <w:kern w:val="0"/>
          <w:sz w:val="28"/>
          <w:szCs w:val="28"/>
          <w:lang w:val="zh-TW" w:eastAsia="zh-CN" w:bidi="ar-SA"/>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default" w:ascii="宋体" w:hAnsi="宋体" w:eastAsia="宋体" w:cs="宋体"/>
          <w:color w:val="auto"/>
          <w:kern w:val="0"/>
          <w:sz w:val="28"/>
          <w:szCs w:val="28"/>
          <w:lang w:val="en-US" w:eastAsia="zh-CN" w:bidi="ar-SA"/>
        </w:rPr>
      </w:pPr>
      <w:r>
        <w:rPr>
          <w:rStyle w:val="114"/>
          <w:rFonts w:hint="eastAsia" w:ascii="宋体" w:hAnsi="宋体" w:cs="宋体"/>
          <w:color w:val="auto"/>
          <w:kern w:val="0"/>
          <w:sz w:val="28"/>
          <w:szCs w:val="28"/>
          <w:lang w:val="en-US" w:eastAsia="zh-CN" w:bidi="ar-SA"/>
        </w:rPr>
        <w:t>16</w:t>
      </w:r>
      <w:r>
        <w:rPr>
          <w:rStyle w:val="114"/>
          <w:rFonts w:hint="eastAsia" w:ascii="宋体" w:hAnsi="宋体" w:eastAsia="宋体" w:cs="宋体"/>
          <w:color w:val="auto"/>
          <w:kern w:val="0"/>
          <w:sz w:val="28"/>
          <w:szCs w:val="28"/>
          <w:lang w:val="en-US" w:eastAsia="zh-CN" w:bidi="ar-SA"/>
        </w:rPr>
        <w:t>.《</w:t>
      </w:r>
      <w:r>
        <w:rPr>
          <w:rStyle w:val="114"/>
          <w:rFonts w:hint="default" w:ascii="宋体" w:hAnsi="宋体" w:eastAsia="宋体" w:cs="宋体"/>
          <w:color w:val="auto"/>
          <w:kern w:val="0"/>
          <w:sz w:val="28"/>
          <w:szCs w:val="28"/>
          <w:lang w:val="en-US" w:eastAsia="zh-CN" w:bidi="ar-SA"/>
        </w:rPr>
        <w:t>生产安全事故罚款处罚规定</w:t>
      </w:r>
      <w:r>
        <w:rPr>
          <w:rStyle w:val="114"/>
          <w:rFonts w:hint="eastAsia" w:ascii="宋体" w:hAnsi="宋体" w:eastAsia="宋体" w:cs="宋体"/>
          <w:color w:val="auto"/>
          <w:kern w:val="0"/>
          <w:sz w:val="28"/>
          <w:szCs w:val="28"/>
          <w:lang w:val="en-US" w:eastAsia="zh-CN" w:bidi="ar-SA"/>
        </w:rPr>
        <w:t>》（中华人民共和国应急管理部</w:t>
      </w:r>
      <w:r>
        <w:rPr>
          <w:rStyle w:val="114"/>
          <w:rFonts w:hint="default" w:ascii="宋体" w:hAnsi="宋体" w:eastAsia="宋体" w:cs="宋体"/>
          <w:color w:val="auto"/>
          <w:kern w:val="0"/>
          <w:sz w:val="28"/>
          <w:szCs w:val="28"/>
          <w:lang w:val="en-US" w:eastAsia="zh-CN" w:bidi="ar-SA"/>
        </w:rPr>
        <w:t>令第14号</w:t>
      </w:r>
      <w:r>
        <w:rPr>
          <w:rStyle w:val="114"/>
          <w:rFonts w:hint="eastAsia" w:ascii="宋体" w:hAnsi="宋体" w:eastAsia="宋体" w:cs="宋体"/>
          <w:color w:val="auto"/>
          <w:kern w:val="0"/>
          <w:sz w:val="28"/>
          <w:szCs w:val="28"/>
          <w:lang w:val="en-US" w:eastAsia="zh-CN" w:bidi="ar-SA"/>
        </w:rPr>
        <w:t>）</w:t>
      </w:r>
      <w:r>
        <w:rPr>
          <w:rStyle w:val="114"/>
          <w:rFonts w:hint="default" w:ascii="宋体" w:hAnsi="宋体" w:eastAsia="宋体" w:cs="宋体"/>
          <w:color w:val="auto"/>
          <w:kern w:val="0"/>
          <w:sz w:val="28"/>
          <w:szCs w:val="28"/>
          <w:lang w:val="en-US" w:eastAsia="zh-CN" w:bidi="ar-SA"/>
        </w:rPr>
        <w:t>。</w:t>
      </w:r>
    </w:p>
    <w:p>
      <w:pPr>
        <w:pStyle w:val="5"/>
        <w:bidi w:val="0"/>
        <w:rPr>
          <w:rFonts w:ascii="宋体" w:hAnsi="宋体"/>
          <w:color w:val="auto"/>
          <w:kern w:val="2"/>
          <w:szCs w:val="28"/>
          <w:lang w:eastAsia="zh-CN" w:bidi="ar-SA"/>
        </w:rPr>
      </w:pPr>
      <w:bookmarkStart w:id="68" w:name="_Toc392448622"/>
      <w:bookmarkStart w:id="69" w:name="_Toc102829660"/>
      <w:bookmarkStart w:id="70" w:name="_Toc26399"/>
      <w:bookmarkStart w:id="71" w:name="_Toc22985"/>
      <w:bookmarkStart w:id="72" w:name="_Toc398707196"/>
      <w:bookmarkStart w:id="73" w:name="_Toc654"/>
      <w:r>
        <w:rPr>
          <w:lang w:eastAsia="zh-CN"/>
        </w:rPr>
        <w:t>1.</w:t>
      </w:r>
      <w:r>
        <w:rPr>
          <w:rFonts w:hint="eastAsia"/>
          <w:lang w:eastAsia="zh-CN"/>
        </w:rPr>
        <w:t>2</w:t>
      </w:r>
      <w:r>
        <w:rPr>
          <w:lang w:eastAsia="zh-CN"/>
        </w:rPr>
        <w:t>.4</w:t>
      </w:r>
      <w:r>
        <w:rPr>
          <w:rFonts w:hint="eastAsia"/>
          <w:lang w:eastAsia="zh-CN"/>
        </w:rPr>
        <w:t>地方性法规及规范性</w:t>
      </w:r>
      <w:r>
        <w:rPr>
          <w:lang w:eastAsia="zh-CN"/>
        </w:rPr>
        <w:t>文件</w:t>
      </w:r>
      <w:bookmarkEnd w:id="68"/>
      <w:bookmarkEnd w:id="69"/>
      <w:bookmarkEnd w:id="70"/>
      <w:bookmarkEnd w:id="71"/>
      <w:bookmarkEnd w:id="72"/>
      <w:bookmarkEnd w:id="73"/>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1.《国务院关于进一步加强企业安全生产工作的通知》（国发〔2010〕23号）；</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2.国务院安委会办公室关于贯彻落实《国务院关于进一步加强企业安全生产工作的通知》精神进一步加强非煤矿山安全生产工作的实施意见（安委办〔2010〕17号）；</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3.《国务院办公厅转发安全监管总局等部门关于依法做好金属非金属矿山整顿工作意见的通知》（国办发〔2012〕54号）；</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4.《国家安全监管总局关于严防十类非煤矿山生产安全事故的通知》（安监总管一〔2014〕48号）；</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5.《国务院关于取消和调整一批行政审批项目等事项的决定》（国发〔2015〕11号）；</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6.《云南省安全生产条例》（云南省人大常委会2018年1月1日起施行）。</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7.《云南省人民政府贯彻落实国务院关于进一步加强企业安全生产工作通知的实施意见》（云政发〔2010〕157号）；</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CN" w:bidi="ar-SA"/>
        </w:rPr>
      </w:pPr>
      <w:r>
        <w:rPr>
          <w:rStyle w:val="114"/>
          <w:rFonts w:hint="eastAsia" w:ascii="宋体" w:hAnsi="宋体" w:eastAsia="宋体" w:cs="宋体"/>
          <w:color w:val="auto"/>
          <w:kern w:val="0"/>
          <w:sz w:val="28"/>
          <w:szCs w:val="28"/>
          <w:lang w:val="zh-TW" w:eastAsia="zh-TW" w:bidi="ar-SA"/>
        </w:rPr>
        <w:t>8.云南省人民政府《关于促进非煤矿山转型升级的实施意见》（云政发〔2015〕38号）</w:t>
      </w:r>
      <w:r>
        <w:rPr>
          <w:rStyle w:val="114"/>
          <w:rFonts w:hint="eastAsia" w:ascii="宋体" w:hAnsi="宋体" w:eastAsia="宋体" w:cs="宋体"/>
          <w:color w:val="auto"/>
          <w:kern w:val="0"/>
          <w:sz w:val="28"/>
          <w:szCs w:val="28"/>
          <w:lang w:val="zh-TW" w:eastAsia="zh-CN" w:bidi="ar-SA"/>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CN" w:bidi="ar-SA"/>
        </w:rPr>
      </w:pPr>
      <w:r>
        <w:rPr>
          <w:rStyle w:val="114"/>
          <w:rFonts w:hint="eastAsia" w:ascii="宋体" w:hAnsi="宋体" w:eastAsia="宋体" w:cs="宋体"/>
          <w:color w:val="auto"/>
          <w:kern w:val="0"/>
          <w:sz w:val="28"/>
          <w:szCs w:val="28"/>
          <w:lang w:val="en-US" w:eastAsia="zh-CN" w:bidi="ar-SA"/>
        </w:rPr>
        <w:t>9.</w:t>
      </w:r>
      <w:r>
        <w:rPr>
          <w:rStyle w:val="114"/>
          <w:rFonts w:hint="eastAsia" w:ascii="宋体" w:hAnsi="宋体" w:eastAsia="宋体" w:cs="宋体"/>
          <w:color w:val="auto"/>
          <w:kern w:val="0"/>
          <w:sz w:val="28"/>
          <w:szCs w:val="28"/>
          <w:lang w:val="zh-TW" w:eastAsia="zh-TW" w:bidi="ar-SA"/>
        </w:rPr>
        <w:t>云南省人民政府办公厅关于印发云南省政务服务投诉处理办法（试行）的通知</w:t>
      </w:r>
      <w:r>
        <w:rPr>
          <w:rStyle w:val="114"/>
          <w:rFonts w:hint="eastAsia" w:ascii="宋体" w:hAnsi="宋体" w:eastAsia="宋体" w:cs="宋体"/>
          <w:color w:val="auto"/>
          <w:kern w:val="0"/>
          <w:sz w:val="28"/>
          <w:szCs w:val="28"/>
          <w:lang w:val="zh-TW" w:eastAsia="zh-CN" w:bidi="ar-SA"/>
        </w:rPr>
        <w:t>（</w:t>
      </w:r>
      <w:r>
        <w:rPr>
          <w:rStyle w:val="114"/>
          <w:rFonts w:hint="eastAsia" w:ascii="宋体" w:hAnsi="宋体" w:eastAsia="宋体" w:cs="宋体"/>
          <w:color w:val="auto"/>
          <w:kern w:val="0"/>
          <w:sz w:val="28"/>
          <w:szCs w:val="28"/>
          <w:lang w:val="zh-TW" w:eastAsia="zh-TW" w:bidi="ar-SA"/>
        </w:rPr>
        <w:t>云政办规〔2022〕4号）</w:t>
      </w:r>
      <w:r>
        <w:rPr>
          <w:rStyle w:val="114"/>
          <w:rFonts w:hint="eastAsia" w:ascii="宋体" w:hAnsi="宋体" w:eastAsia="宋体" w:cs="宋体"/>
          <w:color w:val="auto"/>
          <w:kern w:val="0"/>
          <w:sz w:val="28"/>
          <w:szCs w:val="28"/>
          <w:lang w:val="zh-TW" w:eastAsia="zh-CN" w:bidi="ar-SA"/>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en-US" w:eastAsia="zh-CN" w:bidi="ar-SA"/>
        </w:rPr>
      </w:pPr>
      <w:r>
        <w:rPr>
          <w:rStyle w:val="114"/>
          <w:rFonts w:hint="eastAsia" w:ascii="宋体" w:hAnsi="宋体" w:eastAsia="宋体" w:cs="宋体"/>
          <w:color w:val="auto"/>
          <w:kern w:val="0"/>
          <w:sz w:val="28"/>
          <w:szCs w:val="28"/>
          <w:lang w:val="en-US" w:eastAsia="zh-CN" w:bidi="ar-SA"/>
        </w:rPr>
        <w:t>10.《云南省人民政府关于印发云南省生产经营单位安全生产主体责任规定的通知》云政规[2022]4号</w:t>
      </w:r>
      <w:r>
        <w:rPr>
          <w:rStyle w:val="114"/>
          <w:rFonts w:hint="eastAsia" w:ascii="宋体" w:hAnsi="宋体" w:cs="宋体"/>
          <w:color w:val="auto"/>
          <w:kern w:val="0"/>
          <w:sz w:val="28"/>
          <w:szCs w:val="28"/>
          <w:lang w:val="en-US" w:eastAsia="zh-CN" w:bidi="ar-SA"/>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default" w:ascii="宋体" w:hAnsi="宋体" w:eastAsia="宋体" w:cs="宋体"/>
          <w:color w:val="auto"/>
          <w:kern w:val="0"/>
          <w:sz w:val="28"/>
          <w:szCs w:val="28"/>
          <w:lang w:val="en-US" w:eastAsia="zh-CN" w:bidi="ar-SA"/>
        </w:rPr>
      </w:pPr>
      <w:r>
        <w:rPr>
          <w:rStyle w:val="114"/>
          <w:rFonts w:hint="eastAsia" w:ascii="宋体" w:hAnsi="宋体" w:cs="宋体"/>
          <w:color w:val="auto"/>
          <w:kern w:val="0"/>
          <w:sz w:val="28"/>
          <w:szCs w:val="28"/>
          <w:lang w:val="en-US" w:eastAsia="zh-CN" w:bidi="ar-SA"/>
        </w:rPr>
        <w:t>11.《云南省生产安全事故应急办法》（省人民政府令第227号），自2024年2月1日起施行。</w:t>
      </w:r>
    </w:p>
    <w:p>
      <w:pPr>
        <w:pStyle w:val="5"/>
        <w:bidi w:val="0"/>
        <w:rPr>
          <w:rFonts w:hint="eastAsia"/>
          <w:lang w:eastAsia="zh-CN"/>
        </w:rPr>
      </w:pPr>
      <w:bookmarkStart w:id="74" w:name="_Toc29568"/>
      <w:bookmarkStart w:id="75" w:name="_Toc5226"/>
      <w:bookmarkStart w:id="76" w:name="_Toc398707197"/>
      <w:bookmarkStart w:id="77" w:name="_Toc392448623"/>
      <w:bookmarkStart w:id="78" w:name="_Toc102829657"/>
      <w:bookmarkStart w:id="79" w:name="_Toc10056"/>
      <w:bookmarkStart w:id="80" w:name="_Toc350324527"/>
      <w:bookmarkStart w:id="81" w:name="_Toc102829661"/>
      <w:bookmarkStart w:id="82" w:name="_Toc8615"/>
      <w:r>
        <w:rPr>
          <w:lang w:eastAsia="zh-CN"/>
        </w:rPr>
        <w:t>1.</w:t>
      </w:r>
      <w:r>
        <w:rPr>
          <w:rFonts w:hint="eastAsia"/>
          <w:lang w:eastAsia="zh-CN"/>
        </w:rPr>
        <w:t>2</w:t>
      </w:r>
      <w:r>
        <w:rPr>
          <w:lang w:eastAsia="zh-CN"/>
        </w:rPr>
        <w:t>.5标准</w:t>
      </w:r>
      <w:bookmarkEnd w:id="74"/>
      <w:bookmarkEnd w:id="75"/>
      <w:bookmarkEnd w:id="76"/>
      <w:bookmarkEnd w:id="77"/>
      <w:r>
        <w:rPr>
          <w:rFonts w:hint="eastAsia"/>
          <w:lang w:eastAsia="zh-CN"/>
        </w:rPr>
        <w:t>规范</w:t>
      </w:r>
      <w:bookmarkEnd w:id="78"/>
      <w:bookmarkEnd w:id="79"/>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1.《安全评价通则》（AQ8001-2007）；</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bookmarkStart w:id="83" w:name="_Toc418847713"/>
      <w:r>
        <w:rPr>
          <w:rStyle w:val="114"/>
          <w:rFonts w:hint="eastAsia" w:ascii="宋体" w:hAnsi="宋体" w:eastAsia="宋体" w:cs="宋体"/>
          <w:color w:val="auto"/>
          <w:kern w:val="0"/>
          <w:sz w:val="28"/>
          <w:szCs w:val="28"/>
          <w:lang w:val="zh-TW" w:eastAsia="zh-TW" w:bidi="ar-SA"/>
        </w:rPr>
        <w:t>2.《工业企业总平面设计规范》（GB50187-2012）；</w:t>
      </w:r>
      <w:bookmarkEnd w:id="83"/>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3.《金属非金属矿山安全规程》(GB16423-2020)；</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4.《企业职工伤亡事故分类标准》（GB6441-1986）；</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bookmarkStart w:id="84" w:name="_Toc418847716"/>
      <w:r>
        <w:rPr>
          <w:rStyle w:val="114"/>
          <w:rFonts w:hint="eastAsia" w:ascii="宋体" w:hAnsi="宋体" w:eastAsia="宋体" w:cs="宋体"/>
          <w:color w:val="auto"/>
          <w:kern w:val="0"/>
          <w:sz w:val="28"/>
          <w:szCs w:val="28"/>
          <w:lang w:val="zh-TW" w:eastAsia="zh-TW" w:bidi="ar-SA"/>
        </w:rPr>
        <w:t>5.《矿山电力设计规范》（GB50070-2020）；</w:t>
      </w:r>
      <w:bookmarkEnd w:id="84"/>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6.《用电安全导则》（GB/T13869-2008）；</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7.《供配电系统设计规范》（GB50052-2009）；</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bookmarkStart w:id="85" w:name="_Toc418847718"/>
      <w:r>
        <w:rPr>
          <w:rStyle w:val="114"/>
          <w:rFonts w:hint="eastAsia" w:ascii="宋体" w:hAnsi="宋体" w:eastAsia="宋体" w:cs="宋体"/>
          <w:color w:val="auto"/>
          <w:kern w:val="0"/>
          <w:sz w:val="28"/>
          <w:szCs w:val="28"/>
          <w:lang w:val="zh-TW" w:eastAsia="zh-TW" w:bidi="ar-SA"/>
        </w:rPr>
        <w:t>8.《低压配电设计规范》（GB50054-2011）；</w:t>
      </w:r>
      <w:bookmarkEnd w:id="85"/>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9.《矿用一般型电气设备》（GB12173-2008）；</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bookmarkStart w:id="86" w:name="_Toc418847719"/>
      <w:r>
        <w:rPr>
          <w:rStyle w:val="114"/>
          <w:rFonts w:hint="eastAsia" w:ascii="宋体" w:hAnsi="宋体" w:eastAsia="宋体" w:cs="宋体"/>
          <w:color w:val="auto"/>
          <w:kern w:val="0"/>
          <w:sz w:val="28"/>
          <w:szCs w:val="28"/>
          <w:lang w:val="zh-TW" w:eastAsia="zh-TW" w:bidi="ar-SA"/>
        </w:rPr>
        <w:t>10.《工业企业设计卫生标准》（GBZ1-2010）；</w:t>
      </w:r>
      <w:bookmarkEnd w:id="86"/>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11.《生产过程安全卫生要求总则》（GB12801-2008）；</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bookmarkStart w:id="87" w:name="_Toc418847720"/>
      <w:r>
        <w:rPr>
          <w:rStyle w:val="114"/>
          <w:rFonts w:hint="eastAsia" w:ascii="宋体" w:hAnsi="宋体" w:eastAsia="宋体" w:cs="宋体"/>
          <w:color w:val="auto"/>
          <w:kern w:val="0"/>
          <w:sz w:val="28"/>
          <w:szCs w:val="28"/>
          <w:lang w:val="zh-TW" w:eastAsia="zh-TW" w:bidi="ar-SA"/>
        </w:rPr>
        <w:t>12.《生产设备安全卫生设计总则》（GB5083-1999）；</w:t>
      </w:r>
      <w:bookmarkEnd w:id="87"/>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13.《工业企业厂内铁路、道路运输安全规程》（GB4387-2008）；</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bookmarkStart w:id="88" w:name="_Toc418847721"/>
      <w:r>
        <w:rPr>
          <w:rStyle w:val="114"/>
          <w:rFonts w:hint="eastAsia" w:ascii="宋体" w:hAnsi="宋体" w:eastAsia="宋体" w:cs="宋体"/>
          <w:color w:val="auto"/>
          <w:kern w:val="0"/>
          <w:sz w:val="28"/>
          <w:szCs w:val="28"/>
          <w:lang w:val="zh-TW" w:eastAsia="zh-TW" w:bidi="ar-SA"/>
        </w:rPr>
        <w:t>14.《安全标志及其使用导则》（GB2894-2008</w:t>
      </w:r>
      <w:bookmarkEnd w:id="88"/>
      <w:r>
        <w:rPr>
          <w:rStyle w:val="114"/>
          <w:rFonts w:hint="eastAsia" w:ascii="宋体" w:hAnsi="宋体" w:eastAsia="宋体" w:cs="宋体"/>
          <w:color w:val="auto"/>
          <w:kern w:val="0"/>
          <w:sz w:val="28"/>
          <w:szCs w:val="28"/>
          <w:lang w:val="zh-TW" w:eastAsia="zh-TW" w:bidi="ar-SA"/>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15.《安全色》（GB2893-2008）；</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16.《矿山安全标志》（GB14161-2008）；</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17.《高处作业分级》（GB/T3608-2008）；</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bookmarkStart w:id="89" w:name="_Toc418847723"/>
      <w:r>
        <w:rPr>
          <w:rStyle w:val="114"/>
          <w:rFonts w:hint="eastAsia" w:ascii="宋体" w:hAnsi="宋体" w:eastAsia="宋体" w:cs="宋体"/>
          <w:color w:val="auto"/>
          <w:kern w:val="0"/>
          <w:sz w:val="28"/>
          <w:szCs w:val="28"/>
          <w:lang w:val="zh-TW" w:eastAsia="zh-TW" w:bidi="ar-SA"/>
        </w:rPr>
        <w:t>18.《危险化学品重大危险源》（GB18218-2018）；</w:t>
      </w:r>
      <w:bookmarkEnd w:id="89"/>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19.《生产过程危险和有害因素分类与代码》（GB/T13861-</w:t>
      </w:r>
      <w:r>
        <w:rPr>
          <w:rStyle w:val="114"/>
          <w:rFonts w:hint="eastAsia" w:ascii="宋体" w:hAnsi="宋体" w:cs="宋体"/>
          <w:color w:val="auto"/>
          <w:kern w:val="0"/>
          <w:sz w:val="28"/>
          <w:szCs w:val="28"/>
          <w:lang w:val="en-US" w:eastAsia="zh-CN" w:bidi="ar-SA"/>
        </w:rPr>
        <w:t>2022</w:t>
      </w:r>
      <w:r>
        <w:rPr>
          <w:rStyle w:val="114"/>
          <w:rFonts w:hint="eastAsia" w:ascii="宋体" w:hAnsi="宋体" w:eastAsia="宋体" w:cs="宋体"/>
          <w:color w:val="auto"/>
          <w:kern w:val="0"/>
          <w:sz w:val="28"/>
          <w:szCs w:val="28"/>
          <w:lang w:val="zh-TW" w:eastAsia="zh-TW" w:bidi="ar-SA"/>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bookmarkStart w:id="90" w:name="_Toc418847724"/>
      <w:r>
        <w:rPr>
          <w:rStyle w:val="114"/>
          <w:rFonts w:hint="eastAsia" w:ascii="宋体" w:hAnsi="宋体" w:eastAsia="宋体" w:cs="宋体"/>
          <w:color w:val="auto"/>
          <w:kern w:val="0"/>
          <w:sz w:val="28"/>
          <w:szCs w:val="28"/>
          <w:lang w:val="zh-TW" w:eastAsia="zh-TW" w:bidi="ar-SA"/>
        </w:rPr>
        <w:t>20.《建筑灭火器配置设计规范》（GB50140-2005）</w:t>
      </w:r>
      <w:bookmarkEnd w:id="90"/>
      <w:r>
        <w:rPr>
          <w:rStyle w:val="114"/>
          <w:rFonts w:hint="eastAsia" w:ascii="宋体" w:hAnsi="宋体" w:eastAsia="宋体" w:cs="宋体"/>
          <w:color w:val="auto"/>
          <w:kern w:val="0"/>
          <w:sz w:val="28"/>
          <w:szCs w:val="28"/>
          <w:lang w:val="zh-TW" w:eastAsia="zh-TW" w:bidi="ar-SA"/>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outlineLvl w:val="9"/>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21.《建筑物防雷设计规范》（GB50057-2010）；</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22.《建筑设计防火规范》（GB50016-2014</w:t>
      </w:r>
      <w:r>
        <w:rPr>
          <w:rStyle w:val="114"/>
          <w:rFonts w:hint="eastAsia" w:ascii="宋体" w:hAnsi="宋体" w:eastAsia="宋体" w:cs="宋体"/>
          <w:color w:val="auto"/>
          <w:kern w:val="0"/>
          <w:sz w:val="28"/>
          <w:szCs w:val="28"/>
          <w:lang w:val="zh-TW" w:eastAsia="zh-CN" w:bidi="ar-SA"/>
        </w:rPr>
        <w:t>（</w:t>
      </w:r>
      <w:r>
        <w:rPr>
          <w:rStyle w:val="114"/>
          <w:rFonts w:hint="eastAsia" w:ascii="宋体" w:hAnsi="宋体" w:eastAsia="宋体" w:cs="宋体"/>
          <w:color w:val="auto"/>
          <w:kern w:val="0"/>
          <w:sz w:val="28"/>
          <w:szCs w:val="28"/>
          <w:lang w:val="zh-TW" w:eastAsia="zh-TW" w:bidi="ar-SA"/>
        </w:rPr>
        <w:t>2018年版</w:t>
      </w:r>
      <w:r>
        <w:rPr>
          <w:rStyle w:val="114"/>
          <w:rFonts w:hint="eastAsia" w:ascii="宋体" w:hAnsi="宋体" w:eastAsia="宋体" w:cs="宋体"/>
          <w:color w:val="auto"/>
          <w:kern w:val="0"/>
          <w:sz w:val="28"/>
          <w:szCs w:val="28"/>
          <w:lang w:val="zh-TW" w:eastAsia="zh-CN" w:bidi="ar-SA"/>
        </w:rPr>
        <w:t>）</w:t>
      </w:r>
      <w:r>
        <w:rPr>
          <w:rStyle w:val="114"/>
          <w:rFonts w:hint="eastAsia" w:ascii="宋体" w:hAnsi="宋体" w:eastAsia="宋体" w:cs="宋体"/>
          <w:color w:val="auto"/>
          <w:kern w:val="0"/>
          <w:sz w:val="28"/>
          <w:szCs w:val="28"/>
          <w:lang w:val="zh-TW" w:eastAsia="zh-TW" w:bidi="ar-SA"/>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23.《建筑抗震设计规范</w:t>
      </w:r>
      <w:r>
        <w:rPr>
          <w:rStyle w:val="114"/>
          <w:rFonts w:hint="eastAsia" w:ascii="宋体" w:hAnsi="宋体" w:eastAsia="宋体" w:cs="宋体"/>
          <w:color w:val="auto"/>
          <w:kern w:val="0"/>
          <w:sz w:val="28"/>
          <w:szCs w:val="28"/>
          <w:lang w:val="zh-TW" w:eastAsia="zh-CN" w:bidi="ar-SA"/>
        </w:rPr>
        <w:t>（</w:t>
      </w:r>
      <w:r>
        <w:rPr>
          <w:rStyle w:val="114"/>
          <w:rFonts w:hint="eastAsia" w:ascii="宋体" w:hAnsi="宋体" w:eastAsia="宋体" w:cs="宋体"/>
          <w:color w:val="auto"/>
          <w:kern w:val="0"/>
          <w:sz w:val="28"/>
          <w:szCs w:val="28"/>
          <w:lang w:val="zh-TW" w:eastAsia="zh-TW" w:bidi="ar-SA"/>
        </w:rPr>
        <w:t>2016年版</w:t>
      </w:r>
      <w:r>
        <w:rPr>
          <w:rStyle w:val="114"/>
          <w:rFonts w:hint="eastAsia" w:ascii="宋体" w:hAnsi="宋体" w:eastAsia="宋体" w:cs="宋体"/>
          <w:color w:val="auto"/>
          <w:kern w:val="0"/>
          <w:sz w:val="28"/>
          <w:szCs w:val="28"/>
          <w:lang w:val="zh-TW" w:eastAsia="zh-CN" w:bidi="ar-SA"/>
        </w:rPr>
        <w:t>）</w:t>
      </w:r>
      <w:r>
        <w:rPr>
          <w:rStyle w:val="114"/>
          <w:rFonts w:hint="eastAsia" w:ascii="宋体" w:hAnsi="宋体" w:eastAsia="宋体" w:cs="宋体"/>
          <w:color w:val="auto"/>
          <w:kern w:val="0"/>
          <w:sz w:val="28"/>
          <w:szCs w:val="28"/>
          <w:lang w:val="zh-TW" w:eastAsia="zh-TW" w:bidi="ar-SA"/>
        </w:rPr>
        <w:t>》（GB50011-2010）；</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24.《生产经营单位生产安全事故应急预案编制导则》（GB/T29639-2020）；</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25.《带式输送机安全规范》（GB14784-2013）；</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26.其他有关的国家级行业标准、规范。</w:t>
      </w:r>
    </w:p>
    <w:p>
      <w:pPr>
        <w:pStyle w:val="5"/>
        <w:bidi w:val="0"/>
        <w:rPr>
          <w:rFonts w:hint="eastAsia"/>
          <w:lang w:eastAsia="zh-CN"/>
        </w:rPr>
      </w:pPr>
      <w:bookmarkStart w:id="91" w:name="_Toc19562"/>
      <w:r>
        <w:rPr>
          <w:rFonts w:hint="eastAsia"/>
          <w:lang w:eastAsia="zh-CN"/>
        </w:rPr>
        <w:t>1.2.6项目合法证明文件</w:t>
      </w:r>
      <w:bookmarkEnd w:id="80"/>
      <w:bookmarkEnd w:id="81"/>
      <w:bookmarkEnd w:id="82"/>
      <w:bookmarkEnd w:id="91"/>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bookmarkStart w:id="92" w:name="_Toc6333"/>
      <w:bookmarkStart w:id="93" w:name="_Toc350324528"/>
      <w:r>
        <w:rPr>
          <w:rStyle w:val="114"/>
          <w:rFonts w:hint="eastAsia" w:ascii="宋体" w:hAnsi="宋体" w:eastAsia="宋体" w:cs="宋体"/>
          <w:color w:val="auto"/>
          <w:kern w:val="0"/>
          <w:sz w:val="28"/>
          <w:szCs w:val="28"/>
          <w:lang w:val="zh-TW" w:eastAsia="zh-TW" w:bidi="ar-SA"/>
        </w:rPr>
        <w:t>1．采矿许可证副本(证号：C5323232010107130083117，有</w:t>
      </w:r>
      <w:r>
        <w:rPr>
          <w:rStyle w:val="114"/>
          <w:rFonts w:hint="eastAsia" w:ascii="宋体" w:hAnsi="宋体" w:eastAsia="宋体" w:cs="宋体"/>
          <w:color w:val="auto"/>
          <w:kern w:val="0"/>
          <w:sz w:val="28"/>
          <w:szCs w:val="28"/>
          <w:lang w:val="zh-TW" w:eastAsia="zh-CN" w:bidi="ar-SA"/>
        </w:rPr>
        <w:t>效</w:t>
      </w:r>
      <w:r>
        <w:rPr>
          <w:rStyle w:val="114"/>
          <w:rFonts w:hint="eastAsia" w:ascii="宋体" w:hAnsi="宋体" w:eastAsia="宋体" w:cs="宋体"/>
          <w:color w:val="auto"/>
          <w:kern w:val="0"/>
          <w:sz w:val="28"/>
          <w:szCs w:val="28"/>
          <w:lang w:val="zh-TW" w:eastAsia="zh-TW" w:bidi="ar-SA"/>
        </w:rPr>
        <w:t>期：202</w:t>
      </w:r>
      <w:r>
        <w:rPr>
          <w:rStyle w:val="114"/>
          <w:rFonts w:hint="eastAsia" w:ascii="宋体" w:hAnsi="宋体" w:cs="宋体"/>
          <w:color w:val="auto"/>
          <w:kern w:val="0"/>
          <w:sz w:val="28"/>
          <w:szCs w:val="28"/>
          <w:lang w:val="en-US" w:eastAsia="zh-CN" w:bidi="ar-SA"/>
        </w:rPr>
        <w:t>3</w:t>
      </w:r>
      <w:r>
        <w:rPr>
          <w:rStyle w:val="114"/>
          <w:rFonts w:hint="eastAsia" w:ascii="宋体" w:hAnsi="宋体" w:eastAsia="宋体" w:cs="宋体"/>
          <w:color w:val="auto"/>
          <w:kern w:val="0"/>
          <w:sz w:val="28"/>
          <w:szCs w:val="28"/>
          <w:lang w:val="zh-TW" w:eastAsia="zh-TW" w:bidi="ar-SA"/>
        </w:rPr>
        <w:t>年</w:t>
      </w:r>
      <w:r>
        <w:rPr>
          <w:rStyle w:val="114"/>
          <w:rFonts w:hint="eastAsia" w:ascii="宋体" w:hAnsi="宋体" w:cs="宋体"/>
          <w:color w:val="auto"/>
          <w:kern w:val="0"/>
          <w:sz w:val="28"/>
          <w:szCs w:val="28"/>
          <w:lang w:val="en-US" w:eastAsia="zh-CN" w:bidi="ar-SA"/>
        </w:rPr>
        <w:t>11</w:t>
      </w:r>
      <w:r>
        <w:rPr>
          <w:rStyle w:val="114"/>
          <w:rFonts w:hint="eastAsia" w:ascii="宋体" w:hAnsi="宋体" w:eastAsia="宋体" w:cs="宋体"/>
          <w:color w:val="auto"/>
          <w:kern w:val="0"/>
          <w:sz w:val="28"/>
          <w:szCs w:val="28"/>
          <w:lang w:val="zh-TW" w:eastAsia="zh-TW" w:bidi="ar-SA"/>
        </w:rPr>
        <w:t>月</w:t>
      </w:r>
      <w:r>
        <w:rPr>
          <w:rStyle w:val="114"/>
          <w:rFonts w:hint="eastAsia" w:ascii="宋体" w:hAnsi="宋体" w:cs="宋体"/>
          <w:color w:val="auto"/>
          <w:kern w:val="0"/>
          <w:sz w:val="28"/>
          <w:szCs w:val="28"/>
          <w:lang w:val="en-US" w:eastAsia="zh-CN" w:bidi="ar-SA"/>
        </w:rPr>
        <w:t>16</w:t>
      </w:r>
      <w:r>
        <w:rPr>
          <w:rStyle w:val="114"/>
          <w:rFonts w:hint="eastAsia" w:ascii="宋体" w:hAnsi="宋体" w:eastAsia="宋体" w:cs="宋体"/>
          <w:color w:val="auto"/>
          <w:kern w:val="0"/>
          <w:sz w:val="28"/>
          <w:szCs w:val="28"/>
          <w:lang w:val="zh-TW" w:eastAsia="zh-TW" w:bidi="ar-SA"/>
        </w:rPr>
        <w:t>日-202</w:t>
      </w:r>
      <w:r>
        <w:rPr>
          <w:rStyle w:val="114"/>
          <w:rFonts w:hint="eastAsia" w:ascii="宋体" w:hAnsi="宋体" w:cs="宋体"/>
          <w:color w:val="auto"/>
          <w:kern w:val="0"/>
          <w:sz w:val="28"/>
          <w:szCs w:val="28"/>
          <w:lang w:val="en-US" w:eastAsia="zh-CN" w:bidi="ar-SA"/>
        </w:rPr>
        <w:t>6</w:t>
      </w:r>
      <w:r>
        <w:rPr>
          <w:rStyle w:val="114"/>
          <w:rFonts w:hint="eastAsia" w:ascii="宋体" w:hAnsi="宋体" w:eastAsia="宋体" w:cs="宋体"/>
          <w:color w:val="auto"/>
          <w:kern w:val="0"/>
          <w:sz w:val="28"/>
          <w:szCs w:val="28"/>
          <w:lang w:val="zh-TW" w:eastAsia="zh-TW" w:bidi="ar-SA"/>
        </w:rPr>
        <w:t>年</w:t>
      </w:r>
      <w:r>
        <w:rPr>
          <w:rStyle w:val="114"/>
          <w:rFonts w:hint="eastAsia" w:ascii="宋体" w:hAnsi="宋体" w:cs="宋体"/>
          <w:color w:val="auto"/>
          <w:kern w:val="0"/>
          <w:sz w:val="28"/>
          <w:szCs w:val="28"/>
          <w:lang w:val="en-US" w:eastAsia="zh-CN" w:bidi="ar-SA"/>
        </w:rPr>
        <w:t>11</w:t>
      </w:r>
      <w:r>
        <w:rPr>
          <w:rStyle w:val="114"/>
          <w:rFonts w:hint="eastAsia" w:ascii="宋体" w:hAnsi="宋体" w:eastAsia="宋体" w:cs="宋体"/>
          <w:color w:val="auto"/>
          <w:kern w:val="0"/>
          <w:sz w:val="28"/>
          <w:szCs w:val="28"/>
          <w:lang w:val="zh-TW" w:eastAsia="zh-TW" w:bidi="ar-SA"/>
        </w:rPr>
        <w:t>月</w:t>
      </w:r>
      <w:r>
        <w:rPr>
          <w:rStyle w:val="114"/>
          <w:rFonts w:hint="eastAsia" w:ascii="宋体" w:hAnsi="宋体" w:cs="宋体"/>
          <w:color w:val="auto"/>
          <w:kern w:val="0"/>
          <w:sz w:val="28"/>
          <w:szCs w:val="28"/>
          <w:lang w:val="en-US" w:eastAsia="zh-CN" w:bidi="ar-SA"/>
        </w:rPr>
        <w:t>15</w:t>
      </w:r>
      <w:r>
        <w:rPr>
          <w:rStyle w:val="114"/>
          <w:rFonts w:hint="eastAsia" w:ascii="宋体" w:hAnsi="宋体" w:eastAsia="宋体" w:cs="宋体"/>
          <w:color w:val="auto"/>
          <w:kern w:val="0"/>
          <w:sz w:val="28"/>
          <w:szCs w:val="28"/>
          <w:lang w:val="zh-TW" w:eastAsia="zh-TW" w:bidi="ar-SA"/>
        </w:rPr>
        <w:t>日)；</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2．安全生产许可证（证号:(楚)FM安许证字【2020】038，有效期：202</w:t>
      </w:r>
      <w:r>
        <w:rPr>
          <w:rStyle w:val="114"/>
          <w:rFonts w:hint="eastAsia" w:ascii="宋体" w:hAnsi="宋体" w:cs="宋体"/>
          <w:color w:val="auto"/>
          <w:kern w:val="0"/>
          <w:sz w:val="28"/>
          <w:szCs w:val="28"/>
          <w:lang w:val="en-US" w:eastAsia="zh-CN" w:bidi="ar-SA"/>
        </w:rPr>
        <w:t>0</w:t>
      </w:r>
      <w:r>
        <w:rPr>
          <w:rStyle w:val="114"/>
          <w:rFonts w:hint="eastAsia" w:ascii="宋体" w:hAnsi="宋体" w:eastAsia="宋体" w:cs="宋体"/>
          <w:color w:val="auto"/>
          <w:kern w:val="0"/>
          <w:sz w:val="28"/>
          <w:szCs w:val="28"/>
          <w:lang w:val="zh-TW" w:eastAsia="zh-TW" w:bidi="ar-SA"/>
        </w:rPr>
        <w:t>年</w:t>
      </w:r>
      <w:r>
        <w:rPr>
          <w:rStyle w:val="114"/>
          <w:rFonts w:hint="eastAsia" w:ascii="宋体" w:hAnsi="宋体" w:cs="宋体"/>
          <w:color w:val="auto"/>
          <w:kern w:val="0"/>
          <w:sz w:val="28"/>
          <w:szCs w:val="28"/>
          <w:lang w:val="en-US" w:eastAsia="zh-CN" w:bidi="ar-SA"/>
        </w:rPr>
        <w:t>11</w:t>
      </w:r>
      <w:r>
        <w:rPr>
          <w:rStyle w:val="114"/>
          <w:rFonts w:hint="eastAsia" w:ascii="宋体" w:hAnsi="宋体" w:eastAsia="宋体" w:cs="宋体"/>
          <w:color w:val="auto"/>
          <w:kern w:val="0"/>
          <w:sz w:val="28"/>
          <w:szCs w:val="28"/>
          <w:lang w:val="zh-TW" w:eastAsia="zh-TW" w:bidi="ar-SA"/>
        </w:rPr>
        <w:t>月1</w:t>
      </w:r>
      <w:r>
        <w:rPr>
          <w:rStyle w:val="114"/>
          <w:rFonts w:hint="eastAsia" w:ascii="宋体" w:hAnsi="宋体" w:cs="宋体"/>
          <w:color w:val="auto"/>
          <w:kern w:val="0"/>
          <w:sz w:val="28"/>
          <w:szCs w:val="28"/>
          <w:lang w:val="en-US" w:eastAsia="zh-CN" w:bidi="ar-SA"/>
        </w:rPr>
        <w:t>1</w:t>
      </w:r>
      <w:r>
        <w:rPr>
          <w:rStyle w:val="114"/>
          <w:rFonts w:hint="eastAsia" w:ascii="宋体" w:hAnsi="宋体" w:eastAsia="宋体" w:cs="宋体"/>
          <w:color w:val="auto"/>
          <w:kern w:val="0"/>
          <w:sz w:val="28"/>
          <w:szCs w:val="28"/>
          <w:lang w:val="zh-TW" w:eastAsia="zh-TW" w:bidi="ar-SA"/>
        </w:rPr>
        <w:t>日-202</w:t>
      </w:r>
      <w:r>
        <w:rPr>
          <w:rStyle w:val="114"/>
          <w:rFonts w:hint="eastAsia" w:ascii="宋体" w:hAnsi="宋体" w:cs="宋体"/>
          <w:color w:val="auto"/>
          <w:kern w:val="0"/>
          <w:sz w:val="28"/>
          <w:szCs w:val="28"/>
          <w:lang w:val="en-US" w:eastAsia="zh-CN" w:bidi="ar-SA"/>
        </w:rPr>
        <w:t>3</w:t>
      </w:r>
      <w:r>
        <w:rPr>
          <w:rStyle w:val="114"/>
          <w:rFonts w:hint="eastAsia" w:ascii="宋体" w:hAnsi="宋体" w:eastAsia="宋体" w:cs="宋体"/>
          <w:color w:val="auto"/>
          <w:kern w:val="0"/>
          <w:sz w:val="28"/>
          <w:szCs w:val="28"/>
          <w:lang w:val="zh-TW" w:eastAsia="zh-TW" w:bidi="ar-SA"/>
        </w:rPr>
        <w:t>年</w:t>
      </w:r>
      <w:r>
        <w:rPr>
          <w:rStyle w:val="114"/>
          <w:rFonts w:hint="eastAsia" w:ascii="宋体" w:hAnsi="宋体" w:cs="宋体"/>
          <w:color w:val="auto"/>
          <w:kern w:val="0"/>
          <w:sz w:val="28"/>
          <w:szCs w:val="28"/>
          <w:lang w:val="en-US" w:eastAsia="zh-CN" w:bidi="ar-SA"/>
        </w:rPr>
        <w:t>11</w:t>
      </w:r>
      <w:r>
        <w:rPr>
          <w:rStyle w:val="114"/>
          <w:rFonts w:hint="eastAsia" w:ascii="宋体" w:hAnsi="宋体" w:eastAsia="宋体" w:cs="宋体"/>
          <w:color w:val="auto"/>
          <w:kern w:val="0"/>
          <w:sz w:val="28"/>
          <w:szCs w:val="28"/>
          <w:lang w:val="zh-TW" w:eastAsia="zh-TW" w:bidi="ar-SA"/>
        </w:rPr>
        <w:t>月</w:t>
      </w:r>
      <w:r>
        <w:rPr>
          <w:rStyle w:val="114"/>
          <w:rFonts w:hint="eastAsia" w:ascii="宋体" w:hAnsi="宋体" w:cs="宋体"/>
          <w:color w:val="auto"/>
          <w:kern w:val="0"/>
          <w:sz w:val="28"/>
          <w:szCs w:val="28"/>
          <w:lang w:val="en-US" w:eastAsia="zh-CN" w:bidi="ar-SA"/>
        </w:rPr>
        <w:t>10</w:t>
      </w:r>
      <w:r>
        <w:rPr>
          <w:rStyle w:val="114"/>
          <w:rFonts w:hint="eastAsia" w:ascii="宋体" w:hAnsi="宋体" w:eastAsia="宋体" w:cs="宋体"/>
          <w:color w:val="auto"/>
          <w:kern w:val="0"/>
          <w:sz w:val="28"/>
          <w:szCs w:val="28"/>
          <w:lang w:val="zh-TW" w:eastAsia="zh-TW" w:bidi="ar-SA"/>
        </w:rPr>
        <w:t>日；</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3．营业执照（统一社会信用代码:92532323MA6MGWTH6D，</w:t>
      </w:r>
      <w:r>
        <w:rPr>
          <w:rStyle w:val="114"/>
          <w:rFonts w:hint="eastAsia" w:ascii="宋体" w:hAnsi="宋体" w:cs="宋体"/>
          <w:color w:val="auto"/>
          <w:kern w:val="0"/>
          <w:sz w:val="28"/>
          <w:szCs w:val="28"/>
          <w:lang w:val="en-US" w:eastAsia="zh-CN" w:bidi="ar-SA"/>
        </w:rPr>
        <w:t>牟定县行政审批局，2023年10月12日</w:t>
      </w:r>
      <w:r>
        <w:rPr>
          <w:rStyle w:val="114"/>
          <w:rFonts w:hint="eastAsia" w:ascii="宋体" w:hAnsi="宋体" w:eastAsia="宋体" w:cs="宋体"/>
          <w:color w:val="auto"/>
          <w:kern w:val="0"/>
          <w:sz w:val="28"/>
          <w:szCs w:val="28"/>
          <w:lang w:val="zh-TW" w:eastAsia="zh-TW" w:bidi="ar-SA"/>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4．安全现状评价委托书。</w:t>
      </w:r>
    </w:p>
    <w:p>
      <w:pPr>
        <w:pStyle w:val="5"/>
        <w:bidi w:val="0"/>
        <w:rPr>
          <w:rFonts w:hint="eastAsia"/>
          <w:lang w:eastAsia="zh-CN"/>
        </w:rPr>
      </w:pPr>
      <w:bookmarkStart w:id="94" w:name="_Toc102829662"/>
      <w:bookmarkStart w:id="95" w:name="_Toc3329"/>
      <w:r>
        <w:rPr>
          <w:rFonts w:hint="eastAsia"/>
          <w:lang w:eastAsia="zh-CN"/>
        </w:rPr>
        <w:t>1.2.7项目技术资料</w:t>
      </w:r>
      <w:bookmarkEnd w:id="92"/>
      <w:bookmarkEnd w:id="93"/>
      <w:bookmarkEnd w:id="94"/>
      <w:bookmarkEnd w:id="95"/>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宋体" w:hAnsi="宋体" w:eastAsia="宋体" w:cs="宋体"/>
          <w:color w:val="auto"/>
          <w:kern w:val="0"/>
          <w:sz w:val="28"/>
          <w:szCs w:val="28"/>
          <w:lang w:val="zh-TW" w:eastAsia="zh-TW" w:bidi="ar-SA"/>
        </w:rPr>
      </w:pPr>
      <w:r>
        <w:rPr>
          <w:rFonts w:hint="eastAsia" w:ascii="宋体" w:hAnsi="宋体" w:eastAsia="宋体" w:cs="宋体"/>
          <w:color w:val="auto"/>
          <w:kern w:val="0"/>
          <w:sz w:val="28"/>
          <w:szCs w:val="28"/>
          <w:lang w:val="zh-TW" w:eastAsia="zh-TW" w:bidi="ar-SA"/>
        </w:rPr>
        <w:t>1．《云南省牟定县共和镇西山寺砂场普通建筑材料用砂矿资源储量核实报告》，云南省有色地质局楚雄勘查院，2015年9月；</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宋体" w:hAnsi="宋体" w:eastAsia="宋体" w:cs="宋体"/>
          <w:color w:val="auto"/>
          <w:kern w:val="0"/>
          <w:sz w:val="28"/>
          <w:szCs w:val="28"/>
          <w:lang w:val="zh-TW" w:eastAsia="zh-TW" w:bidi="ar-SA"/>
        </w:rPr>
      </w:pPr>
      <w:r>
        <w:rPr>
          <w:rFonts w:hint="eastAsia" w:ascii="宋体" w:hAnsi="宋体" w:cs="宋体"/>
          <w:color w:val="auto"/>
          <w:kern w:val="0"/>
          <w:sz w:val="28"/>
          <w:szCs w:val="28"/>
          <w:lang w:val="en-US" w:eastAsia="zh-CN" w:bidi="ar-SA"/>
        </w:rPr>
        <w:t>2.</w:t>
      </w:r>
      <w:r>
        <w:rPr>
          <w:rFonts w:hint="eastAsia" w:ascii="宋体" w:hAnsi="宋体" w:eastAsia="宋体" w:cs="宋体"/>
          <w:color w:val="auto"/>
          <w:kern w:val="0"/>
          <w:sz w:val="28"/>
          <w:szCs w:val="28"/>
          <w:lang w:val="zh-TW" w:eastAsia="zh-TW" w:bidi="ar-SA"/>
        </w:rPr>
        <w:t>《云南省牟定县共和镇西山寺砂场普通建筑材料用砂矿资源开发利用方案》云南省有色地质局楚雄勘察院，2015年10月；</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宋体" w:hAnsi="宋体" w:eastAsia="宋体" w:cs="宋体"/>
          <w:color w:val="auto"/>
          <w:kern w:val="0"/>
          <w:sz w:val="28"/>
          <w:szCs w:val="28"/>
          <w:lang w:val="zh-TW" w:eastAsia="zh-TW" w:bidi="ar-SA"/>
        </w:rPr>
      </w:pPr>
      <w:r>
        <w:rPr>
          <w:rFonts w:hint="eastAsia" w:ascii="宋体" w:hAnsi="宋体" w:cs="宋体"/>
          <w:color w:val="auto"/>
          <w:kern w:val="0"/>
          <w:sz w:val="28"/>
          <w:szCs w:val="28"/>
          <w:lang w:val="en-US" w:eastAsia="zh-CN" w:bidi="ar-SA"/>
        </w:rPr>
        <w:t>3.</w:t>
      </w:r>
      <w:r>
        <w:rPr>
          <w:rFonts w:hint="eastAsia" w:ascii="宋体" w:hAnsi="宋体" w:eastAsia="宋体" w:cs="宋体"/>
          <w:color w:val="auto"/>
          <w:kern w:val="0"/>
          <w:sz w:val="28"/>
          <w:szCs w:val="28"/>
          <w:lang w:val="zh-TW" w:eastAsia="zh-TW" w:bidi="ar-SA"/>
        </w:rPr>
        <w:t>《云南省牟定县共和镇西山寺砂场普通建筑材料用砂矿资源储量核实报告》评审意见书【云楚土储开评字（2015）105号】楚雄彝族自治州土地储备开发整理中心，2015年10月21日；</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宋体" w:hAnsi="宋体" w:eastAsia="宋体" w:cs="宋体"/>
          <w:color w:val="auto"/>
          <w:kern w:val="0"/>
          <w:sz w:val="28"/>
          <w:szCs w:val="28"/>
          <w:lang w:val="zh-TW" w:eastAsia="zh-TW" w:bidi="ar-SA"/>
        </w:rPr>
      </w:pPr>
      <w:r>
        <w:rPr>
          <w:rFonts w:hint="eastAsia" w:ascii="宋体" w:hAnsi="宋体" w:cs="宋体"/>
          <w:color w:val="auto"/>
          <w:kern w:val="0"/>
          <w:sz w:val="28"/>
          <w:szCs w:val="28"/>
          <w:lang w:val="en-US" w:eastAsia="zh-CN" w:bidi="ar-SA"/>
        </w:rPr>
        <w:t>4.</w:t>
      </w:r>
      <w:r>
        <w:rPr>
          <w:rFonts w:hint="eastAsia" w:ascii="宋体" w:hAnsi="宋体" w:eastAsia="宋体" w:cs="宋体"/>
          <w:color w:val="auto"/>
          <w:kern w:val="0"/>
          <w:sz w:val="28"/>
          <w:szCs w:val="28"/>
          <w:lang w:val="zh-TW" w:eastAsia="zh-TW" w:bidi="ar-SA"/>
        </w:rPr>
        <w:t>《牟定共和西山寺砂场初步设计（代可研）》（云南上立矿业有限公司，2017年4月）；</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宋体" w:hAnsi="宋体" w:eastAsia="宋体" w:cs="宋体"/>
          <w:color w:val="auto"/>
          <w:kern w:val="0"/>
          <w:sz w:val="28"/>
          <w:szCs w:val="28"/>
          <w:lang w:val="zh-TW" w:eastAsia="zh-TW" w:bidi="ar-SA"/>
        </w:rPr>
      </w:pPr>
      <w:r>
        <w:rPr>
          <w:rFonts w:hint="eastAsia" w:ascii="宋体" w:hAnsi="宋体" w:cs="宋体"/>
          <w:color w:val="auto"/>
          <w:kern w:val="0"/>
          <w:sz w:val="28"/>
          <w:szCs w:val="28"/>
          <w:lang w:val="en-US" w:eastAsia="zh-CN" w:bidi="ar-SA"/>
        </w:rPr>
        <w:t>5.</w:t>
      </w:r>
      <w:r>
        <w:rPr>
          <w:rFonts w:hint="eastAsia" w:ascii="宋体" w:hAnsi="宋体" w:eastAsia="宋体" w:cs="宋体"/>
          <w:color w:val="auto"/>
          <w:kern w:val="0"/>
          <w:sz w:val="28"/>
          <w:szCs w:val="28"/>
          <w:lang w:val="zh-TW" w:eastAsia="zh-TW" w:bidi="ar-SA"/>
        </w:rPr>
        <w:t>《牟定共和西山寺砂场安全设施设计》（云南上立矿业有限公司，2017年6月）；</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宋体" w:hAnsi="宋体" w:eastAsia="宋体" w:cs="宋体"/>
          <w:color w:val="auto"/>
          <w:kern w:val="0"/>
          <w:sz w:val="28"/>
          <w:szCs w:val="28"/>
          <w:lang w:val="zh-TW" w:eastAsia="zh-TW" w:bidi="ar-SA"/>
        </w:rPr>
      </w:pPr>
      <w:r>
        <w:rPr>
          <w:rFonts w:hint="eastAsia" w:ascii="宋体" w:hAnsi="宋体" w:cs="宋体"/>
          <w:color w:val="auto"/>
          <w:kern w:val="0"/>
          <w:sz w:val="28"/>
          <w:szCs w:val="28"/>
          <w:lang w:val="en-US" w:eastAsia="zh-CN" w:bidi="ar-SA"/>
        </w:rPr>
        <w:t>6.</w:t>
      </w:r>
      <w:r>
        <w:rPr>
          <w:rFonts w:hint="eastAsia" w:ascii="宋体" w:hAnsi="宋体" w:eastAsia="宋体" w:cs="宋体"/>
          <w:color w:val="auto"/>
          <w:kern w:val="0"/>
          <w:sz w:val="28"/>
          <w:szCs w:val="28"/>
          <w:lang w:val="zh-TW" w:eastAsia="zh-TW" w:bidi="ar-SA"/>
        </w:rPr>
        <w:t>《牟定共和西山寺砂场安全现状评价报告》（云南云天咨询有限公司，2020年11月）；</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宋体" w:hAnsi="宋体" w:eastAsia="宋体" w:cs="宋体"/>
          <w:color w:val="auto"/>
          <w:kern w:val="0"/>
          <w:sz w:val="28"/>
          <w:szCs w:val="28"/>
          <w:lang w:val="zh-TW" w:eastAsia="zh-CN" w:bidi="ar-SA"/>
        </w:rPr>
      </w:pPr>
      <w:r>
        <w:rPr>
          <w:rFonts w:hint="eastAsia" w:ascii="宋体" w:hAnsi="宋体" w:cs="宋体"/>
          <w:color w:val="auto"/>
          <w:kern w:val="0"/>
          <w:sz w:val="28"/>
          <w:szCs w:val="28"/>
          <w:lang w:val="en-US" w:eastAsia="zh-CN" w:bidi="ar-SA"/>
        </w:rPr>
        <w:t>7.</w:t>
      </w:r>
      <w:r>
        <w:rPr>
          <w:rFonts w:hint="eastAsia" w:ascii="宋体" w:hAnsi="宋体" w:eastAsia="宋体" w:cs="宋体"/>
          <w:color w:val="auto"/>
          <w:kern w:val="0"/>
          <w:sz w:val="28"/>
          <w:szCs w:val="28"/>
          <w:lang w:val="zh-TW" w:eastAsia="zh-TW" w:bidi="ar-SA"/>
        </w:rPr>
        <w:t>《牟定共和西山寺砂场企业安全生产标准化评审报告》（昭通市鼎安科技有限公司，2021年11月24日）</w:t>
      </w:r>
      <w:r>
        <w:rPr>
          <w:rFonts w:hint="eastAsia" w:ascii="宋体" w:hAnsi="宋体" w:cs="宋体"/>
          <w:color w:val="auto"/>
          <w:kern w:val="0"/>
          <w:sz w:val="28"/>
          <w:szCs w:val="28"/>
          <w:lang w:val="zh-TW" w:eastAsia="zh-CN" w:bidi="ar-SA"/>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560" w:firstLineChars="200"/>
        <w:jc w:val="both"/>
        <w:textAlignment w:val="auto"/>
        <w:rPr>
          <w:rFonts w:hint="eastAsia" w:ascii="宋体" w:hAnsi="宋体" w:eastAsia="宋体" w:cs="宋体"/>
          <w:color w:val="auto"/>
          <w:kern w:val="0"/>
          <w:sz w:val="28"/>
          <w:szCs w:val="28"/>
          <w:lang w:val="zh-TW" w:eastAsia="zh-TW" w:bidi="ar-SA"/>
        </w:rPr>
      </w:pPr>
      <w:r>
        <w:rPr>
          <w:rFonts w:hint="eastAsia" w:ascii="宋体" w:hAnsi="宋体" w:cs="宋体"/>
          <w:color w:val="auto"/>
          <w:kern w:val="0"/>
          <w:sz w:val="28"/>
          <w:szCs w:val="28"/>
          <w:lang w:val="en-US" w:eastAsia="zh-CN" w:bidi="ar-SA"/>
        </w:rPr>
        <w:t>8</w:t>
      </w:r>
      <w:r>
        <w:rPr>
          <w:rFonts w:hint="eastAsia" w:ascii="宋体" w:hAnsi="宋体" w:eastAsia="宋体" w:cs="宋体"/>
          <w:color w:val="auto"/>
          <w:kern w:val="0"/>
          <w:sz w:val="28"/>
          <w:szCs w:val="28"/>
          <w:lang w:val="zh-TW" w:eastAsia="zh-TW" w:bidi="ar-SA"/>
        </w:rPr>
        <w:t>.提供的其他相关资料。</w:t>
      </w:r>
    </w:p>
    <w:p>
      <w:pPr>
        <w:pStyle w:val="5"/>
        <w:bidi w:val="0"/>
        <w:rPr>
          <w:rFonts w:hint="eastAsia"/>
          <w:lang w:eastAsia="zh-CN"/>
        </w:rPr>
      </w:pPr>
      <w:bookmarkStart w:id="96" w:name="_Toc102829663"/>
      <w:bookmarkStart w:id="97" w:name="_Toc15739"/>
      <w:r>
        <w:rPr>
          <w:rFonts w:hint="eastAsia"/>
          <w:lang w:eastAsia="zh-CN"/>
        </w:rPr>
        <w:t>1.2.8其他评价依据</w:t>
      </w:r>
      <w:bookmarkEnd w:id="96"/>
      <w:bookmarkEnd w:id="97"/>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CN" w:bidi="ar-SA"/>
        </w:rPr>
      </w:pPr>
      <w:r>
        <w:rPr>
          <w:rStyle w:val="114"/>
          <w:rFonts w:hint="eastAsia" w:ascii="宋体" w:hAnsi="宋体" w:eastAsia="宋体" w:cs="宋体"/>
          <w:color w:val="auto"/>
          <w:kern w:val="0"/>
          <w:sz w:val="28"/>
          <w:szCs w:val="28"/>
          <w:lang w:val="zh-TW" w:eastAsia="zh-TW" w:bidi="ar-SA"/>
        </w:rPr>
        <w:t>1.</w:t>
      </w:r>
      <w:r>
        <w:rPr>
          <w:rStyle w:val="114"/>
          <w:rFonts w:hint="eastAsia" w:ascii="宋体" w:hAnsi="宋体" w:cs="宋体"/>
          <w:color w:val="auto"/>
          <w:kern w:val="0"/>
          <w:sz w:val="28"/>
          <w:szCs w:val="28"/>
          <w:lang w:val="zh-TW" w:eastAsia="zh-CN" w:bidi="ar-SA"/>
        </w:rPr>
        <w:t>牟定共和西山寺砂场</w:t>
      </w:r>
      <w:r>
        <w:rPr>
          <w:rStyle w:val="114"/>
          <w:rFonts w:hint="eastAsia" w:ascii="宋体" w:hAnsi="宋体" w:eastAsia="宋体" w:cs="宋体"/>
          <w:color w:val="auto"/>
          <w:kern w:val="0"/>
          <w:sz w:val="28"/>
          <w:szCs w:val="28"/>
          <w:lang w:val="zh-TW" w:eastAsia="zh-TW" w:bidi="ar-SA"/>
        </w:rPr>
        <w:t>委托昭通市鼎安科技有限公司的安全现状评价《委托书》；</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2.</w:t>
      </w:r>
      <w:r>
        <w:rPr>
          <w:rStyle w:val="114"/>
          <w:rFonts w:hint="eastAsia" w:ascii="宋体" w:hAnsi="宋体" w:cs="宋体"/>
          <w:color w:val="auto"/>
          <w:kern w:val="0"/>
          <w:sz w:val="28"/>
          <w:szCs w:val="28"/>
          <w:lang w:val="zh-TW" w:eastAsia="zh-CN" w:bidi="ar-SA"/>
        </w:rPr>
        <w:t>牟定共和西山寺砂场</w:t>
      </w:r>
      <w:r>
        <w:rPr>
          <w:rStyle w:val="114"/>
          <w:rFonts w:hint="eastAsia" w:ascii="宋体" w:hAnsi="宋体" w:eastAsia="宋体" w:cs="宋体"/>
          <w:color w:val="auto"/>
          <w:kern w:val="0"/>
          <w:sz w:val="28"/>
          <w:szCs w:val="28"/>
          <w:lang w:val="zh-TW" w:eastAsia="zh-TW" w:bidi="ar-SA"/>
        </w:rPr>
        <w:t>与昭通市鼎安科技有限公司签订的合同书。</w:t>
      </w:r>
    </w:p>
    <w:p>
      <w:pPr>
        <w:pStyle w:val="4"/>
        <w:bidi w:val="0"/>
        <w:rPr>
          <w:rFonts w:hint="eastAsia"/>
          <w:lang w:eastAsia="zh-CN"/>
        </w:rPr>
      </w:pPr>
      <w:bookmarkStart w:id="98" w:name="_Toc3772"/>
      <w:r>
        <w:rPr>
          <w:rFonts w:hint="eastAsia"/>
          <w:lang w:eastAsia="zh-CN"/>
        </w:rPr>
        <w:t>1.3评价原则</w:t>
      </w:r>
      <w:bookmarkEnd w:id="98"/>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依据《安全评价通则》规定，安全评价基本原则是具备国家规定资质的安全评价机构科学、公正和合法的自主开展安全评价。</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昭通市鼎安科技有限公司将</w:t>
      </w:r>
      <w:r>
        <w:rPr>
          <w:rStyle w:val="114"/>
          <w:rFonts w:hint="eastAsia" w:ascii="宋体" w:hAnsi="宋体" w:eastAsia="宋体" w:cs="宋体"/>
          <w:color w:val="auto"/>
          <w:kern w:val="0"/>
          <w:sz w:val="28"/>
          <w:szCs w:val="28"/>
          <w:lang w:val="zh-TW" w:eastAsia="zh-CN" w:bidi="ar-SA"/>
        </w:rPr>
        <w:t>按照</w:t>
      </w:r>
      <w:r>
        <w:rPr>
          <w:rStyle w:val="114"/>
          <w:rFonts w:hint="eastAsia" w:ascii="宋体" w:hAnsi="宋体" w:eastAsia="宋体" w:cs="宋体"/>
          <w:color w:val="auto"/>
          <w:kern w:val="0"/>
          <w:sz w:val="28"/>
          <w:szCs w:val="28"/>
          <w:lang w:val="zh-TW" w:eastAsia="zh-TW" w:bidi="ar-SA"/>
        </w:rPr>
        <w:t>国家现行有关劳动安全的法律、法规和标准要求对本项目进行安全评价。同时遵循下列原则：</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1</w:t>
      </w:r>
      <w:r>
        <w:rPr>
          <w:rStyle w:val="114"/>
          <w:rFonts w:hint="eastAsia" w:ascii="宋体" w:hAnsi="宋体" w:eastAsia="宋体" w:cs="宋体"/>
          <w:color w:val="auto"/>
          <w:kern w:val="0"/>
          <w:sz w:val="28"/>
          <w:szCs w:val="28"/>
          <w:lang w:val="zh-TW" w:eastAsia="zh-CN" w:bidi="ar-SA"/>
        </w:rPr>
        <w:t>.</w:t>
      </w:r>
      <w:r>
        <w:rPr>
          <w:rStyle w:val="114"/>
          <w:rFonts w:hint="eastAsia" w:ascii="宋体" w:hAnsi="宋体" w:eastAsia="宋体" w:cs="宋体"/>
          <w:color w:val="auto"/>
          <w:kern w:val="0"/>
          <w:sz w:val="28"/>
          <w:szCs w:val="28"/>
          <w:lang w:val="zh-TW" w:eastAsia="zh-TW" w:bidi="ar-SA"/>
        </w:rPr>
        <w:t>严格执行国家现行有关法律法规、标准、规章和规范的要求，对该企业进行科学、客观、公正、独立的安全评价；</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2</w:t>
      </w:r>
      <w:r>
        <w:rPr>
          <w:rStyle w:val="114"/>
          <w:rFonts w:hint="eastAsia" w:ascii="宋体" w:hAnsi="宋体" w:eastAsia="宋体" w:cs="宋体"/>
          <w:color w:val="auto"/>
          <w:kern w:val="0"/>
          <w:sz w:val="28"/>
          <w:szCs w:val="28"/>
          <w:lang w:val="zh-TW" w:eastAsia="zh-CN" w:bidi="ar-SA"/>
        </w:rPr>
        <w:t>.</w:t>
      </w:r>
      <w:r>
        <w:rPr>
          <w:rStyle w:val="114"/>
          <w:rFonts w:hint="eastAsia" w:ascii="宋体" w:hAnsi="宋体" w:eastAsia="宋体" w:cs="宋体"/>
          <w:color w:val="auto"/>
          <w:kern w:val="0"/>
          <w:sz w:val="28"/>
          <w:szCs w:val="28"/>
          <w:lang w:val="zh-TW" w:eastAsia="zh-TW" w:bidi="ar-SA"/>
        </w:rPr>
        <w:t>采用可靠、适用的评价技术和评价方法对项目进行定性、定量评价，遵循针对性、技术可行性、经济合理性、可操作性的原则，提出消除或减弱危险、有害因素的技术和管理对策措施建议；</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3</w:t>
      </w:r>
      <w:r>
        <w:rPr>
          <w:rStyle w:val="114"/>
          <w:rFonts w:hint="eastAsia" w:ascii="宋体" w:hAnsi="宋体" w:eastAsia="宋体" w:cs="宋体"/>
          <w:color w:val="auto"/>
          <w:kern w:val="0"/>
          <w:sz w:val="28"/>
          <w:szCs w:val="28"/>
          <w:lang w:val="zh-TW" w:eastAsia="zh-CN" w:bidi="ar-SA"/>
        </w:rPr>
        <w:t>.</w:t>
      </w:r>
      <w:r>
        <w:rPr>
          <w:rStyle w:val="114"/>
          <w:rFonts w:hint="eastAsia" w:ascii="宋体" w:hAnsi="宋体" w:eastAsia="宋体" w:cs="宋体"/>
          <w:color w:val="auto"/>
          <w:kern w:val="0"/>
          <w:sz w:val="28"/>
          <w:szCs w:val="28"/>
          <w:lang w:val="zh-TW" w:eastAsia="zh-TW" w:bidi="ar-SA"/>
        </w:rPr>
        <w:t>真实、准确地</w:t>
      </w:r>
      <w:r>
        <w:rPr>
          <w:rStyle w:val="114"/>
          <w:rFonts w:hint="eastAsia" w:ascii="宋体" w:hAnsi="宋体" w:eastAsia="宋体" w:cs="宋体"/>
          <w:color w:val="auto"/>
          <w:kern w:val="0"/>
          <w:sz w:val="28"/>
          <w:szCs w:val="28"/>
          <w:lang w:val="zh-TW" w:eastAsia="zh-CN" w:bidi="ar-SA"/>
        </w:rPr>
        <w:t>作出评价</w:t>
      </w:r>
      <w:r>
        <w:rPr>
          <w:rStyle w:val="114"/>
          <w:rFonts w:hint="eastAsia" w:ascii="宋体" w:hAnsi="宋体" w:eastAsia="宋体" w:cs="宋体"/>
          <w:color w:val="auto"/>
          <w:kern w:val="0"/>
          <w:sz w:val="28"/>
          <w:szCs w:val="28"/>
          <w:lang w:val="zh-TW" w:eastAsia="zh-TW" w:bidi="ar-SA"/>
        </w:rPr>
        <w:t>结论，并对在当时条件下</w:t>
      </w:r>
      <w:r>
        <w:rPr>
          <w:rStyle w:val="114"/>
          <w:rFonts w:hint="eastAsia" w:ascii="宋体" w:hAnsi="宋体" w:eastAsia="宋体" w:cs="宋体"/>
          <w:color w:val="auto"/>
          <w:kern w:val="0"/>
          <w:sz w:val="28"/>
          <w:szCs w:val="28"/>
          <w:lang w:val="zh-TW" w:eastAsia="zh-CN" w:bidi="ar-SA"/>
        </w:rPr>
        <w:t>作出</w:t>
      </w:r>
      <w:r>
        <w:rPr>
          <w:rStyle w:val="114"/>
          <w:rFonts w:hint="eastAsia" w:ascii="宋体" w:hAnsi="宋体" w:eastAsia="宋体" w:cs="宋体"/>
          <w:color w:val="auto"/>
          <w:kern w:val="0"/>
          <w:sz w:val="28"/>
          <w:szCs w:val="28"/>
          <w:lang w:val="zh-TW" w:eastAsia="zh-TW" w:bidi="ar-SA"/>
        </w:rPr>
        <w:t>的安全评价结果承担法律责任；</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Fonts w:hint="eastAsia" w:ascii="宋体" w:hAnsi="宋体"/>
          <w:color w:val="auto"/>
          <w:sz w:val="28"/>
          <w:szCs w:val="28"/>
        </w:rPr>
      </w:pPr>
      <w:r>
        <w:rPr>
          <w:rStyle w:val="114"/>
          <w:rFonts w:hint="eastAsia" w:ascii="宋体" w:hAnsi="宋体" w:eastAsia="宋体" w:cs="宋体"/>
          <w:color w:val="auto"/>
          <w:kern w:val="0"/>
          <w:sz w:val="28"/>
          <w:szCs w:val="28"/>
          <w:lang w:val="zh-TW" w:eastAsia="zh-TW" w:bidi="ar-SA"/>
        </w:rPr>
        <w:t>4</w:t>
      </w:r>
      <w:r>
        <w:rPr>
          <w:rStyle w:val="114"/>
          <w:rFonts w:hint="eastAsia" w:ascii="宋体" w:hAnsi="宋体" w:eastAsia="宋体" w:cs="宋体"/>
          <w:color w:val="auto"/>
          <w:kern w:val="0"/>
          <w:sz w:val="28"/>
          <w:szCs w:val="28"/>
          <w:lang w:val="zh-TW" w:eastAsia="zh-CN" w:bidi="ar-SA"/>
        </w:rPr>
        <w:t>.</w:t>
      </w:r>
      <w:r>
        <w:rPr>
          <w:rStyle w:val="114"/>
          <w:rFonts w:hint="eastAsia" w:ascii="宋体" w:hAnsi="宋体" w:eastAsia="宋体" w:cs="宋体"/>
          <w:color w:val="auto"/>
          <w:kern w:val="0"/>
          <w:sz w:val="28"/>
          <w:szCs w:val="28"/>
          <w:lang w:val="zh-TW" w:eastAsia="zh-TW" w:bidi="ar-SA"/>
        </w:rPr>
        <w:t>遵纪守法、恪守职业道德、诚实守信，对被评价对象的技术和商业秘密保密。</w:t>
      </w:r>
    </w:p>
    <w:p>
      <w:pPr>
        <w:pStyle w:val="4"/>
        <w:bidi w:val="0"/>
        <w:rPr>
          <w:rFonts w:hint="eastAsia"/>
          <w:lang w:eastAsia="zh-CN"/>
        </w:rPr>
      </w:pPr>
      <w:bookmarkStart w:id="99" w:name="_Toc350324531"/>
      <w:bookmarkStart w:id="100" w:name="_Toc1686"/>
      <w:r>
        <w:rPr>
          <w:rFonts w:hint="eastAsia"/>
          <w:lang w:eastAsia="zh-CN"/>
        </w:rPr>
        <w:t>1.4评价程序</w:t>
      </w:r>
      <w:bookmarkEnd w:id="99"/>
      <w:bookmarkEnd w:id="100"/>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jc w:val="both"/>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安全现状评价程序一般包括：前期准备；辨识与分析危险、有害因素；划分评价单元；选择评价方法；定性、定量评价；提出安全对策措施建议；</w:t>
      </w:r>
      <w:r>
        <w:rPr>
          <w:rStyle w:val="114"/>
          <w:rFonts w:hint="eastAsia" w:ascii="宋体" w:hAnsi="宋体" w:eastAsia="宋体" w:cs="宋体"/>
          <w:color w:val="auto"/>
          <w:kern w:val="0"/>
          <w:sz w:val="28"/>
          <w:szCs w:val="28"/>
          <w:lang w:val="zh-TW" w:eastAsia="zh-CN" w:bidi="ar-SA"/>
        </w:rPr>
        <w:t>作出评价</w:t>
      </w:r>
      <w:r>
        <w:rPr>
          <w:rStyle w:val="114"/>
          <w:rFonts w:hint="eastAsia" w:ascii="宋体" w:hAnsi="宋体" w:eastAsia="宋体" w:cs="宋体"/>
          <w:color w:val="auto"/>
          <w:kern w:val="0"/>
          <w:sz w:val="28"/>
          <w:szCs w:val="28"/>
          <w:lang w:val="zh-TW" w:eastAsia="zh-TW" w:bidi="ar-SA"/>
        </w:rPr>
        <w:t>结论；编制安全现状评价报告。安全现状评价程序框图如图1-1所示。</w:t>
      </w:r>
    </w:p>
    <w:p>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jc w:val="both"/>
        <w:textAlignment w:val="auto"/>
        <w:rPr>
          <w:rFonts w:hint="eastAsia" w:ascii="宋体" w:hAnsi="宋体"/>
          <w:color w:val="auto"/>
        </w:rPr>
      </w:pPr>
      <w:r>
        <w:rPr>
          <w:rFonts w:ascii="宋体" w:hAnsi="宋体"/>
          <w:color w:val="auto"/>
        </w:rPr>
        <mc:AlternateContent>
          <mc:Choice Requires="wps">
            <w:drawing>
              <wp:anchor distT="0" distB="0" distL="114300" distR="114300" simplePos="0" relativeHeight="251666432" behindDoc="0" locked="0" layoutInCell="1" allowOverlap="1">
                <wp:simplePos x="0" y="0"/>
                <wp:positionH relativeFrom="column">
                  <wp:posOffset>2909570</wp:posOffset>
                </wp:positionH>
                <wp:positionV relativeFrom="paragraph">
                  <wp:posOffset>1976755</wp:posOffset>
                </wp:positionV>
                <wp:extent cx="635" cy="234315"/>
                <wp:effectExtent l="37465" t="0" r="38100" b="6985"/>
                <wp:wrapTopAndBottom/>
                <wp:docPr id="8" name="直接连接符 2"/>
                <wp:cNvGraphicFramePr/>
                <a:graphic xmlns:a="http://schemas.openxmlformats.org/drawingml/2006/main">
                  <a:graphicData uri="http://schemas.microsoft.com/office/word/2010/wordprocessingShape">
                    <wps:wsp>
                      <wps:cNvCnPr/>
                      <wps:spPr>
                        <a:xfrm>
                          <a:off x="0" y="0"/>
                          <a:ext cx="635" cy="23431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接连接符 2" o:spid="_x0000_s1026" o:spt="20" style="position:absolute;left:0pt;margin-left:229.1pt;margin-top:155.65pt;height:18.45pt;width:0.05pt;mso-wrap-distance-bottom:0pt;mso-wrap-distance-top:0pt;z-index:251666432;mso-width-relative:page;mso-height-relative:page;" filled="f" stroked="t" coordsize="21600,21600" o:gfxdata="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f/0Ro2QAAAAsBAAAPAAAAAAAAAAEAIAAAACIAAABkcnMvZG93bnJl&#10;di54bWxQSwECFAAUAAAACACHTuJAEzcjHfwBAADpAwAADgAAAAAAAAABACAAAAAoAQAAZHJzL2Uy&#10;b0RvYy54bWxQSwUGAAAAAAYABgBZAQAAlgUAAAAA&#10;">
                <v:fill on="f" focussize="0,0"/>
                <v:stroke color="#000000" joinstyle="round" endarrow="block"/>
                <v:imagedata o:title=""/>
                <o:lock v:ext="edit" aspectratio="f"/>
                <w10:wrap type="topAndBottom"/>
              </v:line>
            </w:pict>
          </mc:Fallback>
        </mc:AlternateContent>
      </w:r>
      <w:r>
        <w:rPr>
          <w:rFonts w:ascii="宋体" w:hAnsi="宋体"/>
          <w:color w:val="auto"/>
        </w:rPr>
        <mc:AlternateContent>
          <mc:Choice Requires="wps">
            <w:drawing>
              <wp:anchor distT="0" distB="0" distL="114300" distR="114300" simplePos="0" relativeHeight="251667456" behindDoc="0" locked="0" layoutInCell="1" allowOverlap="1">
                <wp:simplePos x="0" y="0"/>
                <wp:positionH relativeFrom="column">
                  <wp:posOffset>2005965</wp:posOffset>
                </wp:positionH>
                <wp:positionV relativeFrom="paragraph">
                  <wp:posOffset>2183130</wp:posOffset>
                </wp:positionV>
                <wp:extent cx="1828800" cy="283845"/>
                <wp:effectExtent l="4445" t="4445" r="8255" b="16510"/>
                <wp:wrapNone/>
                <wp:docPr id="9" name="矩形 7"/>
                <wp:cNvGraphicFramePr/>
                <a:graphic xmlns:a="http://schemas.openxmlformats.org/drawingml/2006/main">
                  <a:graphicData uri="http://schemas.microsoft.com/office/word/2010/wordprocessingShape">
                    <wps:wsp>
                      <wps:cNvSpPr/>
                      <wps:spPr>
                        <a:xfrm>
                          <a:off x="0" y="0"/>
                          <a:ext cx="1828800" cy="2838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05"/>
                              <w:rPr>
                                <w:szCs w:val="21"/>
                              </w:rPr>
                            </w:pPr>
                            <w:r>
                              <w:rPr>
                                <w:rFonts w:hint="eastAsia" w:ascii="宋体" w:hAnsi="宋体"/>
                                <w:color w:val="000000"/>
                                <w:szCs w:val="21"/>
                              </w:rPr>
                              <w:t>提出安全对策措施建议</w:t>
                            </w:r>
                          </w:p>
                        </w:txbxContent>
                      </wps:txbx>
                      <wps:bodyPr wrap="square" upright="1"/>
                    </wps:wsp>
                  </a:graphicData>
                </a:graphic>
              </wp:anchor>
            </w:drawing>
          </mc:Choice>
          <mc:Fallback>
            <w:pict>
              <v:rect id="矩形 7" o:spid="_x0000_s1026" o:spt="1" style="position:absolute;left:0pt;margin-left:157.95pt;margin-top:171.9pt;height:22.35pt;width:144pt;z-index:251667456;mso-width-relative:page;mso-height-relative:page;" fillcolor="#FFFFFF" filled="t" stroked="t" coordsize="21600,21600" o:gfxdata="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xzPSI2QAAAAsBAAAPAAAAAAAAAAEAIAAAACIA&#10;AABkcnMvZG93bnJldi54bWxQSwECFAAUAAAACACHTuJAM9Ri7AgCAAA3BAAADgAAAAAAAAABACAA&#10;AAAoAQAAZHJzL2Uyb0RvYy54bWxQSwUGAAAAAAYABgBZAQAAogUAAAAA&#10;">
                <v:fill on="t" focussize="0,0"/>
                <v:stroke color="#000000" joinstyle="miter"/>
                <v:imagedata o:title=""/>
                <o:lock v:ext="edit" aspectratio="f"/>
                <v:textbox>
                  <w:txbxContent>
                    <w:p>
                      <w:pPr>
                        <w:ind w:firstLine="105"/>
                        <w:rPr>
                          <w:szCs w:val="21"/>
                        </w:rPr>
                      </w:pPr>
                      <w:r>
                        <w:rPr>
                          <w:rFonts w:hint="eastAsia" w:ascii="宋体" w:hAnsi="宋体"/>
                          <w:color w:val="000000"/>
                          <w:szCs w:val="21"/>
                        </w:rPr>
                        <w:t>提出安全对策措施建议</w:t>
                      </w:r>
                    </w:p>
                  </w:txbxContent>
                </v:textbox>
              </v:rect>
            </w:pict>
          </mc:Fallback>
        </mc:AlternateContent>
      </w:r>
      <w:r>
        <w:rPr>
          <w:rFonts w:ascii="宋体" w:hAnsi="宋体"/>
          <w:color w:val="auto"/>
          <w:sz w:val="24"/>
        </w:rPr>
        <mc:AlternateContent>
          <mc:Choice Requires="wps">
            <w:drawing>
              <wp:anchor distT="0" distB="0" distL="114300" distR="114300" simplePos="0" relativeHeight="251659264" behindDoc="0" locked="0" layoutInCell="1" allowOverlap="1">
                <wp:simplePos x="0" y="0"/>
                <wp:positionH relativeFrom="column">
                  <wp:posOffset>2005965</wp:posOffset>
                </wp:positionH>
                <wp:positionV relativeFrom="paragraph">
                  <wp:posOffset>92075</wp:posOffset>
                </wp:positionV>
                <wp:extent cx="1828800" cy="283845"/>
                <wp:effectExtent l="4445" t="4445" r="8255" b="16510"/>
                <wp:wrapNone/>
                <wp:docPr id="1" name="矩形 11"/>
                <wp:cNvGraphicFramePr/>
                <a:graphic xmlns:a="http://schemas.openxmlformats.org/drawingml/2006/main">
                  <a:graphicData uri="http://schemas.microsoft.com/office/word/2010/wordprocessingShape">
                    <wps:wsp>
                      <wps:cNvSpPr/>
                      <wps:spPr>
                        <a:xfrm>
                          <a:off x="0" y="0"/>
                          <a:ext cx="1828800" cy="2838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840"/>
                              <w:rPr>
                                <w:szCs w:val="21"/>
                              </w:rPr>
                            </w:pPr>
                            <w:r>
                              <w:rPr>
                                <w:rFonts w:hint="eastAsia" w:ascii="宋体" w:hAnsi="宋体"/>
                                <w:color w:val="000000"/>
                                <w:szCs w:val="21"/>
                              </w:rPr>
                              <w:t>前期准备</w:t>
                            </w:r>
                          </w:p>
                        </w:txbxContent>
                      </wps:txbx>
                      <wps:bodyPr vert="horz" wrap="square" anchor="t" anchorCtr="0" upright="1"/>
                    </wps:wsp>
                  </a:graphicData>
                </a:graphic>
              </wp:anchor>
            </w:drawing>
          </mc:Choice>
          <mc:Fallback>
            <w:pict>
              <v:rect id="矩形 11" o:spid="_x0000_s1026" o:spt="1" style="position:absolute;left:0pt;margin-left:157.95pt;margin-top:7.25pt;height:22.35pt;width:144pt;z-index:251659264;mso-width-relative:page;mso-height-relative:page;" fillcolor="#FFFFFF" filled="t" stroked="t" coordsize="21600,21600" o:gfxdata="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UUphMtYAAAAJ&#10;AQAADwAAAAAAAAABACAAAAAiAAAAZHJzL2Rvd25yZXYueG1sUEsBAhQAFAAAAAgAh07iQOQkY30e&#10;AgAAXQQAAA4AAAAAAAAAAQAgAAAAJQEAAGRycy9lMm9Eb2MueG1sUEsFBgAAAAAGAAYAWQEAALUF&#10;AAAAAA==&#10;">
                <v:fill on="t" focussize="0,0"/>
                <v:stroke color="#000000" joinstyle="miter"/>
                <v:imagedata o:title=""/>
                <o:lock v:ext="edit" aspectratio="f"/>
                <v:textbox>
                  <w:txbxContent>
                    <w:p>
                      <w:pPr>
                        <w:ind w:firstLine="840"/>
                        <w:rPr>
                          <w:szCs w:val="21"/>
                        </w:rPr>
                      </w:pPr>
                      <w:r>
                        <w:rPr>
                          <w:rFonts w:hint="eastAsia" w:ascii="宋体" w:hAnsi="宋体"/>
                          <w:color w:val="000000"/>
                          <w:szCs w:val="21"/>
                        </w:rPr>
                        <w:t>前期准备</w:t>
                      </w:r>
                    </w:p>
                  </w:txbxContent>
                </v:textbox>
              </v:rect>
            </w:pict>
          </mc:Fallback>
        </mc:AlternateContent>
      </w:r>
      <w:r>
        <w:rPr>
          <w:rFonts w:ascii="宋体" w:hAnsi="宋体"/>
          <w:color w:val="auto"/>
        </w:rPr>
        <mc:AlternateContent>
          <mc:Choice Requires="wps">
            <w:drawing>
              <wp:anchor distT="0" distB="0" distL="114300" distR="114300" simplePos="0" relativeHeight="251664384" behindDoc="0" locked="0" layoutInCell="1" allowOverlap="1">
                <wp:simplePos x="0" y="0"/>
                <wp:positionH relativeFrom="column">
                  <wp:posOffset>2920365</wp:posOffset>
                </wp:positionH>
                <wp:positionV relativeFrom="paragraph">
                  <wp:posOffset>2165985</wp:posOffset>
                </wp:positionV>
                <wp:extent cx="635" cy="510540"/>
                <wp:effectExtent l="37465" t="0" r="38100" b="10160"/>
                <wp:wrapTopAndBottom/>
                <wp:docPr id="6" name="直接连接符 5"/>
                <wp:cNvGraphicFramePr/>
                <a:graphic xmlns:a="http://schemas.openxmlformats.org/drawingml/2006/main">
                  <a:graphicData uri="http://schemas.microsoft.com/office/word/2010/wordprocessingShape">
                    <wps:wsp>
                      <wps:cNvCnPr/>
                      <wps:spPr>
                        <a:xfrm>
                          <a:off x="0" y="0"/>
                          <a:ext cx="635" cy="5105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接连接符 5" o:spid="_x0000_s1026" o:spt="20" style="position:absolute;left:0pt;margin-left:229.95pt;margin-top:170.55pt;height:40.2pt;width:0.05pt;mso-wrap-distance-bottom:0pt;mso-wrap-distance-top:0pt;z-index:251664384;mso-width-relative:page;mso-height-relative:page;" filled="f" stroked="t" coordsize="21600,21600" o:gfxdata="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wjlBddwAAAALAQAADwAAAAAAAAABACAAAAAiAAAAZHJzL2Rv&#10;d25yZXYueG1sUEsBAhQAFAAAAAgAh07iQCTSS/j9AQAA6QMAAA4AAAAAAAAAAQAgAAAAKwEAAGRy&#10;cy9lMm9Eb2MueG1sUEsFBgAAAAAGAAYAWQEAAJoFAAAAAA==&#10;">
                <v:fill on="f" focussize="0,0"/>
                <v:stroke color="#000000" joinstyle="round" endarrow="block"/>
                <v:imagedata o:title=""/>
                <o:lock v:ext="edit" aspectratio="f"/>
                <w10:wrap type="topAndBottom"/>
              </v:line>
            </w:pict>
          </mc:Fallback>
        </mc:AlternateContent>
      </w:r>
      <w:r>
        <w:rPr>
          <w:rFonts w:ascii="宋体" w:hAnsi="宋体"/>
          <w:color w:val="auto"/>
        </w:rPr>
        <mc:AlternateContent>
          <mc:Choice Requires="wps">
            <w:drawing>
              <wp:anchor distT="0" distB="0" distL="114300" distR="114300" simplePos="0" relativeHeight="251669504" behindDoc="0" locked="0" layoutInCell="1" allowOverlap="1">
                <wp:simplePos x="0" y="0"/>
                <wp:positionH relativeFrom="column">
                  <wp:posOffset>2910840</wp:posOffset>
                </wp:positionH>
                <wp:positionV relativeFrom="paragraph">
                  <wp:posOffset>3052445</wp:posOffset>
                </wp:positionV>
                <wp:extent cx="635" cy="253365"/>
                <wp:effectExtent l="37465" t="0" r="38100" b="635"/>
                <wp:wrapTopAndBottom/>
                <wp:docPr id="11" name="直接连接符 9"/>
                <wp:cNvGraphicFramePr/>
                <a:graphic xmlns:a="http://schemas.openxmlformats.org/drawingml/2006/main">
                  <a:graphicData uri="http://schemas.microsoft.com/office/word/2010/wordprocessingShape">
                    <wps:wsp>
                      <wps:cNvCnPr/>
                      <wps:spPr>
                        <a:xfrm>
                          <a:off x="0" y="0"/>
                          <a:ext cx="635" cy="25336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接连接符 9" o:spid="_x0000_s1026" o:spt="20" style="position:absolute;left:0pt;margin-left:229.2pt;margin-top:240.35pt;height:19.95pt;width:0.05pt;mso-wrap-distance-bottom:0pt;mso-wrap-distance-top:0pt;z-index:251669504;mso-width-relative:page;mso-height-relative:page;" filled="f" stroked="t" coordsize="21600,21600" o:gfxdata="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C73CNoAAAALAQAADwAAAAAAAAABACAAAAAiAAAAZHJzL2Rvd25y&#10;ZXYueG1sUEsBAhQAFAAAAAgAh07iQAlh1ZP8AQAA6gMAAA4AAAAAAAAAAQAgAAAAKQEAAGRycy9l&#10;Mm9Eb2MueG1sUEsFBgAAAAAGAAYAWQEAAJcFAAAAAA==&#10;">
                <v:fill on="f" focussize="0,0"/>
                <v:stroke color="#000000" joinstyle="round" endarrow="block"/>
                <v:imagedata o:title=""/>
                <o:lock v:ext="edit" aspectratio="f"/>
                <w10:wrap type="topAndBottom"/>
              </v:line>
            </w:pict>
          </mc:Fallback>
        </mc:AlternateContent>
      </w:r>
    </w:p>
    <w:p>
      <w:pPr>
        <w:wordWrap/>
        <w:topLinePunct w:val="0"/>
        <w:bidi w:val="0"/>
        <w:spacing w:line="500" w:lineRule="exact"/>
        <w:textAlignment w:val="auto"/>
        <w:rPr>
          <w:rFonts w:hint="eastAsia" w:ascii="宋体" w:hAnsi="宋体"/>
          <w:color w:val="auto"/>
        </w:rPr>
      </w:pPr>
      <w:r>
        <w:rPr>
          <w:rFonts w:ascii="宋体" w:hAnsi="宋体"/>
          <w:color w:val="auto"/>
        </w:rPr>
        <mc:AlternateContent>
          <mc:Choice Requires="wps">
            <w:drawing>
              <wp:anchor distT="0" distB="0" distL="114300" distR="114300" simplePos="0" relativeHeight="251670528" behindDoc="0" locked="0" layoutInCell="1" allowOverlap="1">
                <wp:simplePos x="0" y="0"/>
                <wp:positionH relativeFrom="column">
                  <wp:posOffset>2019300</wp:posOffset>
                </wp:positionH>
                <wp:positionV relativeFrom="paragraph">
                  <wp:posOffset>2061845</wp:posOffset>
                </wp:positionV>
                <wp:extent cx="1828800" cy="321945"/>
                <wp:effectExtent l="4445" t="4445" r="8255" b="16510"/>
                <wp:wrapNone/>
                <wp:docPr id="12" name="矩形 8"/>
                <wp:cNvGraphicFramePr/>
                <a:graphic xmlns:a="http://schemas.openxmlformats.org/drawingml/2006/main">
                  <a:graphicData uri="http://schemas.microsoft.com/office/word/2010/wordprocessingShape">
                    <wps:wsp>
                      <wps:cNvSpPr/>
                      <wps:spPr>
                        <a:xfrm>
                          <a:off x="0" y="0"/>
                          <a:ext cx="1828800" cy="3219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630"/>
                              <w:rPr>
                                <w:szCs w:val="21"/>
                              </w:rPr>
                            </w:pPr>
                            <w:r>
                              <w:rPr>
                                <w:rFonts w:hint="eastAsia" w:ascii="宋体" w:hAnsi="宋体"/>
                                <w:color w:val="000000"/>
                                <w:szCs w:val="21"/>
                              </w:rPr>
                              <w:t>做出评价结论</w:t>
                            </w:r>
                          </w:p>
                        </w:txbxContent>
                      </wps:txbx>
                      <wps:bodyPr wrap="square" upright="1"/>
                    </wps:wsp>
                  </a:graphicData>
                </a:graphic>
              </wp:anchor>
            </w:drawing>
          </mc:Choice>
          <mc:Fallback>
            <w:pict>
              <v:rect id="矩形 8" o:spid="_x0000_s1026" o:spt="1" style="position:absolute;left:0pt;margin-left:159pt;margin-top:162.35pt;height:25.35pt;width:144pt;z-index:251670528;mso-width-relative:page;mso-height-relative:page;" fillcolor="#FFFFFF" filled="t" stroked="t" coordsize="21600,21600" o:gfxdata="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INRC8LZAAAACwEAAA8AAAAAAAAAAQAgAAAA&#10;IgAAAGRycy9kb3ducmV2LnhtbFBLAQIUABQAAAAIAIdO4kAryxKKCgIAADgEAAAOAAAAAAAAAAEA&#10;IAAAACgBAABkcnMvZTJvRG9jLnhtbFBLBQYAAAAABgAGAFkBAACkBQAAAAA=&#10;">
                <v:fill on="t" focussize="0,0"/>
                <v:stroke color="#000000" joinstyle="miter"/>
                <v:imagedata o:title=""/>
                <o:lock v:ext="edit" aspectratio="f"/>
                <v:textbox>
                  <w:txbxContent>
                    <w:p>
                      <w:pPr>
                        <w:ind w:firstLine="630"/>
                        <w:rPr>
                          <w:szCs w:val="21"/>
                        </w:rPr>
                      </w:pPr>
                      <w:r>
                        <w:rPr>
                          <w:rFonts w:hint="eastAsia" w:ascii="宋体" w:hAnsi="宋体"/>
                          <w:color w:val="000000"/>
                          <w:szCs w:val="21"/>
                        </w:rPr>
                        <w:t>做出评价结论</w:t>
                      </w:r>
                    </w:p>
                  </w:txbxContent>
                </v:textbox>
              </v:rect>
            </w:pict>
          </mc:Fallback>
        </mc:AlternateContent>
      </w:r>
      <w:r>
        <w:rPr>
          <w:rFonts w:ascii="宋体" w:hAnsi="宋体"/>
          <w:color w:val="auto"/>
        </w:rPr>
        <mc:AlternateContent>
          <mc:Choice Requires="wps">
            <w:drawing>
              <wp:anchor distT="0" distB="0" distL="114300" distR="114300" simplePos="0" relativeHeight="251662336" behindDoc="0" locked="0" layoutInCell="1" allowOverlap="1">
                <wp:simplePos x="0" y="0"/>
                <wp:positionH relativeFrom="column">
                  <wp:posOffset>2000885</wp:posOffset>
                </wp:positionH>
                <wp:positionV relativeFrom="paragraph">
                  <wp:posOffset>519430</wp:posOffset>
                </wp:positionV>
                <wp:extent cx="1828800" cy="265430"/>
                <wp:effectExtent l="4445" t="4445" r="8255" b="9525"/>
                <wp:wrapNone/>
                <wp:docPr id="4" name="矩形 4"/>
                <wp:cNvGraphicFramePr/>
                <a:graphic xmlns:a="http://schemas.openxmlformats.org/drawingml/2006/main">
                  <a:graphicData uri="http://schemas.microsoft.com/office/word/2010/wordprocessingShape">
                    <wps:wsp>
                      <wps:cNvSpPr/>
                      <wps:spPr>
                        <a:xfrm>
                          <a:off x="0" y="0"/>
                          <a:ext cx="1828800" cy="26543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630"/>
                              <w:rPr>
                                <w:rFonts w:ascii="宋体" w:hAnsi="宋体"/>
                                <w:color w:val="000000"/>
                                <w:szCs w:val="21"/>
                              </w:rPr>
                            </w:pPr>
                            <w:r>
                              <w:rPr>
                                <w:rFonts w:hint="eastAsia" w:ascii="宋体" w:hAnsi="宋体"/>
                                <w:color w:val="000000"/>
                                <w:szCs w:val="21"/>
                              </w:rPr>
                              <w:t>划分评价单元</w:t>
                            </w:r>
                          </w:p>
                        </w:txbxContent>
                      </wps:txbx>
                      <wps:bodyPr wrap="square" upright="1"/>
                    </wps:wsp>
                  </a:graphicData>
                </a:graphic>
              </wp:anchor>
            </w:drawing>
          </mc:Choice>
          <mc:Fallback>
            <w:pict>
              <v:rect id="_x0000_s1026" o:spid="_x0000_s1026" o:spt="1" style="position:absolute;left:0pt;margin-left:157.55pt;margin-top:40.9pt;height:20.9pt;width:144pt;z-index:251662336;mso-width-relative:page;mso-height-relative:page;" fillcolor="#FFFFFF" filled="t" stroked="t" coordsize="21600,21600" o:gfxdata="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w09Fc1wAAAAoBAAAPAAAAAAAAAAEAIAAA&#10;ACIAAABkcnMvZG93bnJldi54bWxQSwECFAAUAAAACACHTuJACGYFEw0CAAA3BAAADgAAAAAAAAAB&#10;ACAAAAAmAQAAZHJzL2Uyb0RvYy54bWxQSwUGAAAAAAYABgBZAQAApQUAAAAA&#10;">
                <v:fill on="t" focussize="0,0"/>
                <v:stroke color="#000000" joinstyle="miter"/>
                <v:imagedata o:title=""/>
                <o:lock v:ext="edit" aspectratio="f"/>
                <v:textbox>
                  <w:txbxContent>
                    <w:p>
                      <w:pPr>
                        <w:ind w:firstLine="630"/>
                        <w:rPr>
                          <w:rFonts w:ascii="宋体" w:hAnsi="宋体"/>
                          <w:color w:val="000000"/>
                          <w:szCs w:val="21"/>
                        </w:rPr>
                      </w:pPr>
                      <w:r>
                        <w:rPr>
                          <w:rFonts w:hint="eastAsia" w:ascii="宋体" w:hAnsi="宋体"/>
                          <w:color w:val="000000"/>
                          <w:szCs w:val="21"/>
                        </w:rPr>
                        <w:t>划分评价单元</w:t>
                      </w:r>
                    </w:p>
                  </w:txbxContent>
                </v:textbox>
              </v:rect>
            </w:pict>
          </mc:Fallback>
        </mc:AlternateContent>
      </w:r>
      <w:r>
        <w:rPr>
          <w:rFonts w:ascii="宋体" w:hAnsi="宋体"/>
          <w:color w:val="auto"/>
        </w:rPr>
        <mc:AlternateContent>
          <mc:Choice Requires="wps">
            <w:drawing>
              <wp:anchor distT="0" distB="0" distL="114300" distR="114300" simplePos="0" relativeHeight="251665408" behindDoc="0" locked="0" layoutInCell="1" allowOverlap="1">
                <wp:simplePos x="0" y="0"/>
                <wp:positionH relativeFrom="column">
                  <wp:posOffset>2002790</wp:posOffset>
                </wp:positionH>
                <wp:positionV relativeFrom="paragraph">
                  <wp:posOffset>1055370</wp:posOffset>
                </wp:positionV>
                <wp:extent cx="1828800" cy="283845"/>
                <wp:effectExtent l="4445" t="4445" r="8255" b="16510"/>
                <wp:wrapNone/>
                <wp:docPr id="7" name="矩形 6"/>
                <wp:cNvGraphicFramePr/>
                <a:graphic xmlns:a="http://schemas.openxmlformats.org/drawingml/2006/main">
                  <a:graphicData uri="http://schemas.microsoft.com/office/word/2010/wordprocessingShape">
                    <wps:wsp>
                      <wps:cNvSpPr/>
                      <wps:spPr>
                        <a:xfrm>
                          <a:off x="0" y="0"/>
                          <a:ext cx="1828800" cy="2838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525"/>
                              <w:rPr>
                                <w:szCs w:val="21"/>
                              </w:rPr>
                            </w:pPr>
                            <w:r>
                              <w:rPr>
                                <w:rFonts w:hint="eastAsia" w:ascii="宋体" w:hAnsi="宋体"/>
                                <w:color w:val="000000"/>
                                <w:szCs w:val="21"/>
                              </w:rPr>
                              <w:t>定性、定量评价</w:t>
                            </w:r>
                          </w:p>
                        </w:txbxContent>
                      </wps:txbx>
                      <wps:bodyPr vert="horz" wrap="square" anchor="t" anchorCtr="0" upright="1"/>
                    </wps:wsp>
                  </a:graphicData>
                </a:graphic>
              </wp:anchor>
            </w:drawing>
          </mc:Choice>
          <mc:Fallback>
            <w:pict>
              <v:rect id="矩形 6" o:spid="_x0000_s1026" o:spt="1" style="position:absolute;left:0pt;margin-left:157.7pt;margin-top:83.1pt;height:22.35pt;width:144pt;z-index:251665408;mso-width-relative:page;mso-height-relative:page;" fillcolor="#FFFFFF" filled="t" stroked="t" coordsize="21600,21600" o:gfxdata="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PJb+idgA&#10;AAALAQAADwAAAAAAAAABACAAAAAiAAAAZHJzL2Rvd25yZXYueG1sUEsBAhQAFAAAAAgAh07iQA7W&#10;KasfAgAAXAQAAA4AAAAAAAAAAQAgAAAAJwEAAGRycy9lMm9Eb2MueG1sUEsFBgAAAAAGAAYAWQEA&#10;ALgFAAAAAA==&#10;">
                <v:fill on="t" focussize="0,0"/>
                <v:stroke color="#000000" joinstyle="miter"/>
                <v:imagedata o:title=""/>
                <o:lock v:ext="edit" aspectratio="f"/>
                <v:textbox>
                  <w:txbxContent>
                    <w:p>
                      <w:pPr>
                        <w:ind w:firstLine="525"/>
                        <w:rPr>
                          <w:szCs w:val="21"/>
                        </w:rPr>
                      </w:pPr>
                      <w:r>
                        <w:rPr>
                          <w:rFonts w:hint="eastAsia" w:ascii="宋体" w:hAnsi="宋体"/>
                          <w:color w:val="000000"/>
                          <w:szCs w:val="21"/>
                        </w:rPr>
                        <w:t>定性、定量评价</w:t>
                      </w:r>
                    </w:p>
                  </w:txbxContent>
                </v:textbox>
              </v:rect>
            </w:pict>
          </mc:Fallback>
        </mc:AlternateContent>
      </w:r>
      <w:r>
        <w:rPr>
          <w:rFonts w:ascii="宋体" w:hAnsi="宋体"/>
          <w:color w:val="auto"/>
        </w:rPr>
        <mc:AlternateContent>
          <mc:Choice Requires="wps">
            <w:drawing>
              <wp:anchor distT="0" distB="0" distL="114300" distR="114300" simplePos="0" relativeHeight="251663360" behindDoc="0" locked="0" layoutInCell="1" allowOverlap="1">
                <wp:simplePos x="0" y="0"/>
                <wp:positionH relativeFrom="column">
                  <wp:posOffset>2901315</wp:posOffset>
                </wp:positionH>
                <wp:positionV relativeFrom="paragraph">
                  <wp:posOffset>1122045</wp:posOffset>
                </wp:positionV>
                <wp:extent cx="635" cy="254635"/>
                <wp:effectExtent l="37465" t="0" r="38100" b="12065"/>
                <wp:wrapTopAndBottom/>
                <wp:docPr id="5" name="直接连接符 3"/>
                <wp:cNvGraphicFramePr/>
                <a:graphic xmlns:a="http://schemas.openxmlformats.org/drawingml/2006/main">
                  <a:graphicData uri="http://schemas.microsoft.com/office/word/2010/wordprocessingShape">
                    <wps:wsp>
                      <wps:cNvCnPr/>
                      <wps:spPr>
                        <a:xfrm>
                          <a:off x="0" y="0"/>
                          <a:ext cx="635" cy="254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接连接符 3" o:spid="_x0000_s1026" o:spt="20" style="position:absolute;left:0pt;margin-left:228.45pt;margin-top:88.35pt;height:20.05pt;width:0.05pt;mso-wrap-distance-bottom:0pt;mso-wrap-distance-top:0pt;z-index:251663360;mso-width-relative:page;mso-height-relative:page;" filled="f" stroked="t" coordsize="21600,21600" o:gfxdata="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CfL0NwAAAALAQAADwAAAAAAAAABACAAAAAiAAAAZHJzL2Rvd25y&#10;ZXYueG1sUEsBAhQAFAAAAAgAh07iQGToh236AQAA6QMAAA4AAAAAAAAAAQAgAAAAKwEAAGRycy9l&#10;Mm9Eb2MueG1sUEsFBgAAAAAGAAYAWQEAAJcFAAAAAA==&#10;">
                <v:fill on="f" focussize="0,0"/>
                <v:stroke color="#000000" joinstyle="round" endarrow="block"/>
                <v:imagedata o:title=""/>
                <o:lock v:ext="edit" aspectratio="f"/>
                <w10:wrap type="topAndBottom"/>
              </v:line>
            </w:pict>
          </mc:Fallback>
        </mc:AlternateContent>
      </w:r>
      <w:r>
        <w:rPr>
          <w:rFonts w:ascii="宋体" w:hAnsi="宋体"/>
          <w:color w:val="auto"/>
        </w:rPr>
        <mc:AlternateContent>
          <mc:Choice Requires="wps">
            <w:drawing>
              <wp:anchor distT="0" distB="0" distL="114300" distR="114300" simplePos="0" relativeHeight="251668480" behindDoc="0" locked="0" layoutInCell="1" allowOverlap="1">
                <wp:simplePos x="0" y="0"/>
                <wp:positionH relativeFrom="column">
                  <wp:posOffset>2910205</wp:posOffset>
                </wp:positionH>
                <wp:positionV relativeFrom="paragraph">
                  <wp:posOffset>583565</wp:posOffset>
                </wp:positionV>
                <wp:extent cx="635" cy="272415"/>
                <wp:effectExtent l="37465" t="0" r="38100" b="6985"/>
                <wp:wrapTopAndBottom/>
                <wp:docPr id="10" name="直接连接符 1"/>
                <wp:cNvGraphicFramePr/>
                <a:graphic xmlns:a="http://schemas.openxmlformats.org/drawingml/2006/main">
                  <a:graphicData uri="http://schemas.microsoft.com/office/word/2010/wordprocessingShape">
                    <wps:wsp>
                      <wps:cNvCnPr/>
                      <wps:spPr>
                        <a:xfrm>
                          <a:off x="0" y="0"/>
                          <a:ext cx="635" cy="27241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接连接符 1" o:spid="_x0000_s1026" o:spt="20" style="position:absolute;left:0pt;margin-left:229.15pt;margin-top:45.95pt;height:21.45pt;width:0.05pt;mso-wrap-distance-bottom:0pt;mso-wrap-distance-top:0pt;z-index:251668480;mso-width-relative:page;mso-height-relative:page;" filled="f" stroked="t" coordsize="21600,21600" o:gfxdata="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6S8kI2gAAAAoBAAAPAAAAAAAAAAEAIAAAACIAAABkcnMvZG93bnJl&#10;di54bWxQSwECFAAUAAAACACHTuJAekVlGfsBAADqAwAADgAAAAAAAAABACAAAAApAQAAZHJzL2Uy&#10;b0RvYy54bWxQSwUGAAAAAAYABgBZAQAAlgUAAAAA&#10;">
                <v:fill on="f" focussize="0,0"/>
                <v:stroke color="#000000" joinstyle="round" endarrow="block"/>
                <v:imagedata o:title=""/>
                <o:lock v:ext="edit" aspectratio="f"/>
                <w10:wrap type="topAndBottom"/>
              </v:line>
            </w:pict>
          </mc:Fallback>
        </mc:AlternateContent>
      </w:r>
      <w:r>
        <w:rPr>
          <w:rFonts w:ascii="宋体" w:hAnsi="宋体"/>
          <w:color w:val="auto"/>
        </w:rPr>
        <mc:AlternateContent>
          <mc:Choice Requires="wps">
            <w:drawing>
              <wp:anchor distT="0" distB="0" distL="114300" distR="114300" simplePos="0" relativeHeight="251661312" behindDoc="0" locked="0" layoutInCell="1" allowOverlap="1">
                <wp:simplePos x="0" y="0"/>
                <wp:positionH relativeFrom="column">
                  <wp:posOffset>2005965</wp:posOffset>
                </wp:positionH>
                <wp:positionV relativeFrom="paragraph">
                  <wp:posOffset>-635</wp:posOffset>
                </wp:positionV>
                <wp:extent cx="1828800" cy="274955"/>
                <wp:effectExtent l="4445" t="4445" r="8255" b="12700"/>
                <wp:wrapNone/>
                <wp:docPr id="3" name="矩形 13"/>
                <wp:cNvGraphicFramePr/>
                <a:graphic xmlns:a="http://schemas.openxmlformats.org/drawingml/2006/main">
                  <a:graphicData uri="http://schemas.microsoft.com/office/word/2010/wordprocessingShape">
                    <wps:wsp>
                      <wps:cNvSpPr/>
                      <wps:spPr>
                        <a:xfrm>
                          <a:off x="0" y="0"/>
                          <a:ext cx="1828800" cy="2749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ascii="宋体" w:hAnsi="宋体"/>
                                <w:color w:val="000000"/>
                                <w:szCs w:val="21"/>
                              </w:rPr>
                              <w:t>辩识与分析危险、有害因素</w:t>
                            </w:r>
                          </w:p>
                        </w:txbxContent>
                      </wps:txbx>
                      <wps:bodyPr wrap="square" upright="1"/>
                    </wps:wsp>
                  </a:graphicData>
                </a:graphic>
              </wp:anchor>
            </w:drawing>
          </mc:Choice>
          <mc:Fallback>
            <w:pict>
              <v:rect id="矩形 13" o:spid="_x0000_s1026" o:spt="1" style="position:absolute;left:0pt;margin-left:157.95pt;margin-top:-0.05pt;height:21.65pt;width:144pt;z-index:251661312;mso-width-relative:page;mso-height-relative:page;" fillcolor="#FFFFFF" filled="t" stroked="t" coordsize="21600,21600" o:gfxdata="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a9Qt1gAAAAgBAAAPAAAAAAAAAAEAIAAAACIA&#10;AABkcnMvZG93bnJldi54bWxQSwECFAAUAAAACACHTuJA3GmBhwsCAAA4BAAADgAAAAAAAAABACAA&#10;AAAlAQAAZHJzL2Uyb0RvYy54bWxQSwUGAAAAAAYABgBZAQAAogUAAAAA&#10;">
                <v:fill on="t" focussize="0,0"/>
                <v:stroke color="#000000" joinstyle="miter"/>
                <v:imagedata o:title=""/>
                <o:lock v:ext="edit" aspectratio="f"/>
                <v:textbox>
                  <w:txbxContent>
                    <w:p>
                      <w:pPr>
                        <w:rPr>
                          <w:szCs w:val="21"/>
                        </w:rPr>
                      </w:pPr>
                      <w:r>
                        <w:rPr>
                          <w:rFonts w:hint="eastAsia" w:ascii="宋体" w:hAnsi="宋体"/>
                          <w:color w:val="000000"/>
                          <w:szCs w:val="21"/>
                        </w:rPr>
                        <w:t>辩识与分析危险、有害因素</w:t>
                      </w:r>
                    </w:p>
                  </w:txbxContent>
                </v:textbox>
              </v:rect>
            </w:pict>
          </mc:Fallback>
        </mc:AlternateContent>
      </w:r>
      <w:r>
        <w:rPr>
          <w:rFonts w:ascii="宋体" w:hAnsi="宋体"/>
          <w:color w:val="auto"/>
        </w:rPr>
        <mc:AlternateContent>
          <mc:Choice Requires="wps">
            <w:drawing>
              <wp:anchor distT="0" distB="0" distL="114300" distR="114300" simplePos="0" relativeHeight="251660288" behindDoc="0" locked="0" layoutInCell="1" allowOverlap="1">
                <wp:simplePos x="0" y="0"/>
                <wp:positionH relativeFrom="column">
                  <wp:posOffset>2901950</wp:posOffset>
                </wp:positionH>
                <wp:positionV relativeFrom="paragraph">
                  <wp:posOffset>74295</wp:posOffset>
                </wp:positionV>
                <wp:extent cx="635" cy="243840"/>
                <wp:effectExtent l="37465" t="0" r="38100" b="10160"/>
                <wp:wrapTopAndBottom/>
                <wp:docPr id="2" name="直接连接符 12"/>
                <wp:cNvGraphicFramePr/>
                <a:graphic xmlns:a="http://schemas.openxmlformats.org/drawingml/2006/main">
                  <a:graphicData uri="http://schemas.microsoft.com/office/word/2010/wordprocessingShape">
                    <wps:wsp>
                      <wps:cNvCnPr/>
                      <wps:spPr>
                        <a:xfrm>
                          <a:off x="0" y="0"/>
                          <a:ext cx="635" cy="2438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接连接符 12" o:spid="_x0000_s1026" o:spt="20" style="position:absolute;left:0pt;margin-left:228.5pt;margin-top:5.85pt;height:19.2pt;width:0.05pt;mso-wrap-distance-bottom:0pt;mso-wrap-distance-top:0pt;z-index:251660288;mso-width-relative:page;mso-height-relative:page;" filled="f" stroked="t" coordsize="21600,21600" o:gfxdata="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k7xu2QAAAAkBAAAPAAAAAAAAAAEAIAAAACIAAABkcnMvZG93&#10;bnJldi54bWxQSwECFAAUAAAACACHTuJAhy3fcP8BAADqAwAADgAAAAAAAAABACAAAAAoAQAAZHJz&#10;L2Uyb0RvYy54bWxQSwUGAAAAAAYABgBZAQAAmQUAAAAA&#10;">
                <v:fill on="f" focussize="0,0"/>
                <v:stroke color="#000000" joinstyle="round" endarrow="block"/>
                <v:imagedata o:title=""/>
                <o:lock v:ext="edit" aspectratio="f"/>
                <w10:wrap type="topAndBottom"/>
              </v:line>
            </w:pict>
          </mc:Fallback>
        </mc:AlternateContent>
      </w:r>
    </w:p>
    <w:p>
      <w:pPr>
        <w:wordWrap/>
        <w:topLinePunct w:val="0"/>
        <w:bidi w:val="0"/>
        <w:spacing w:line="500" w:lineRule="exact"/>
        <w:ind w:firstLine="1365" w:firstLineChars="650"/>
        <w:textAlignment w:val="auto"/>
        <w:rPr>
          <w:rFonts w:hint="eastAsia" w:ascii="宋体" w:hAnsi="宋体" w:cs="宋体"/>
          <w:color w:val="auto"/>
          <w:sz w:val="28"/>
          <w:szCs w:val="28"/>
        </w:rPr>
      </w:pPr>
      <w:r>
        <w:rPr>
          <w:rFonts w:ascii="宋体" w:hAnsi="宋体"/>
          <w:color w:val="auto"/>
        </w:rPr>
        <mc:AlternateContent>
          <mc:Choice Requires="wps">
            <w:drawing>
              <wp:anchor distT="0" distB="0" distL="114300" distR="114300" simplePos="0" relativeHeight="251671552" behindDoc="0" locked="0" layoutInCell="1" allowOverlap="1">
                <wp:simplePos x="0" y="0"/>
                <wp:positionH relativeFrom="column">
                  <wp:posOffset>2019300</wp:posOffset>
                </wp:positionH>
                <wp:positionV relativeFrom="paragraph">
                  <wp:posOffset>301625</wp:posOffset>
                </wp:positionV>
                <wp:extent cx="1828800" cy="321945"/>
                <wp:effectExtent l="4445" t="4445" r="8255" b="16510"/>
                <wp:wrapNone/>
                <wp:docPr id="13" name="矩形 10"/>
                <wp:cNvGraphicFramePr/>
                <a:graphic xmlns:a="http://schemas.openxmlformats.org/drawingml/2006/main">
                  <a:graphicData uri="http://schemas.microsoft.com/office/word/2010/wordprocessingShape">
                    <wps:wsp>
                      <wps:cNvSpPr/>
                      <wps:spPr>
                        <a:xfrm>
                          <a:off x="0" y="0"/>
                          <a:ext cx="1828800" cy="3219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105" w:firstLineChars="50"/>
                              <w:rPr>
                                <w:szCs w:val="21"/>
                              </w:rPr>
                            </w:pPr>
                            <w:r>
                              <w:rPr>
                                <w:rFonts w:hint="eastAsia" w:ascii="宋体" w:hAnsi="宋体"/>
                                <w:color w:val="000000"/>
                                <w:szCs w:val="21"/>
                              </w:rPr>
                              <w:t>编制安全现状评价报告</w:t>
                            </w:r>
                          </w:p>
                        </w:txbxContent>
                      </wps:txbx>
                      <wps:bodyPr wrap="square" upright="1"/>
                    </wps:wsp>
                  </a:graphicData>
                </a:graphic>
              </wp:anchor>
            </w:drawing>
          </mc:Choice>
          <mc:Fallback>
            <w:pict>
              <v:rect id="矩形 10" o:spid="_x0000_s1026" o:spt="1" style="position:absolute;left:0pt;margin-left:159pt;margin-top:23.75pt;height:25.35pt;width:144pt;z-index:251671552;mso-width-relative:page;mso-height-relative:page;" fillcolor="#FFFFFF" filled="t" stroked="t" coordsize="21600,21600" o:gfxdata="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qom7vYAAAACQEAAA8AAAAAAAAAAQAgAAAA&#10;IgAAAGRycy9kb3ducmV2LnhtbFBLAQIUABQAAAAIAIdO4kDhtxOUCwIAADkEAAAOAAAAAAAAAAEA&#10;IAAAACcBAABkcnMvZTJvRG9jLnhtbFBLBQYAAAAABgAGAFkBAACkBQAAAAA=&#10;">
                <v:fill on="t" focussize="0,0"/>
                <v:stroke color="#000000" joinstyle="miter"/>
                <v:imagedata o:title=""/>
                <o:lock v:ext="edit" aspectratio="f"/>
                <v:textbox>
                  <w:txbxContent>
                    <w:p>
                      <w:pPr>
                        <w:ind w:firstLine="105" w:firstLineChars="50"/>
                        <w:rPr>
                          <w:szCs w:val="21"/>
                        </w:rPr>
                      </w:pPr>
                      <w:r>
                        <w:rPr>
                          <w:rFonts w:hint="eastAsia" w:ascii="宋体" w:hAnsi="宋体"/>
                          <w:color w:val="000000"/>
                          <w:szCs w:val="21"/>
                        </w:rPr>
                        <w:t>编制安全现状评价报告</w:t>
                      </w:r>
                    </w:p>
                  </w:txbxContent>
                </v:textbox>
              </v:rect>
            </w:pict>
          </mc:Fallback>
        </mc:AlternateContent>
      </w:r>
    </w:p>
    <w:p>
      <w:pPr>
        <w:wordWrap/>
        <w:topLinePunct w:val="0"/>
        <w:bidi w:val="0"/>
        <w:spacing w:line="500" w:lineRule="exact"/>
        <w:ind w:firstLine="2660" w:firstLineChars="950"/>
        <w:textAlignment w:val="auto"/>
        <w:rPr>
          <w:rFonts w:hint="eastAsia" w:ascii="宋体" w:hAnsi="宋体" w:cs="宋体"/>
          <w:color w:val="auto"/>
          <w:sz w:val="28"/>
          <w:szCs w:val="28"/>
        </w:rPr>
      </w:pPr>
      <w:r>
        <w:rPr>
          <w:rFonts w:hint="eastAsia" w:ascii="宋体" w:hAnsi="宋体" w:cs="宋体"/>
          <w:color w:val="auto"/>
          <w:sz w:val="28"/>
          <w:szCs w:val="28"/>
        </w:rPr>
        <w:t>图1-1安全现状评价程序框图</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安全评价程序包括：准备阶段；危险、有害因素识别与分析；划分安全评价单元；选择安全评价方法；定性、定量评价；提出安全对策措施及建议；</w:t>
      </w:r>
      <w:r>
        <w:rPr>
          <w:rStyle w:val="114"/>
          <w:rFonts w:hint="eastAsia" w:ascii="宋体" w:hAnsi="宋体" w:eastAsia="宋体" w:cs="宋体"/>
          <w:color w:val="auto"/>
          <w:kern w:val="0"/>
          <w:sz w:val="28"/>
          <w:szCs w:val="28"/>
          <w:lang w:val="zh-TW" w:eastAsia="zh-CN" w:bidi="ar-SA"/>
        </w:rPr>
        <w:t>作出</w:t>
      </w:r>
      <w:r>
        <w:rPr>
          <w:rStyle w:val="114"/>
          <w:rFonts w:hint="eastAsia" w:ascii="宋体" w:hAnsi="宋体" w:eastAsia="宋体" w:cs="宋体"/>
          <w:color w:val="auto"/>
          <w:kern w:val="0"/>
          <w:sz w:val="28"/>
          <w:szCs w:val="28"/>
          <w:lang w:val="zh-TW" w:eastAsia="zh-TW" w:bidi="ar-SA"/>
        </w:rPr>
        <w:t>安全评价结论；编制安全评价报告。本次评价工作大体分为三个阶段：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第一阶段为前期准备阶段：签订了安全评价协议、委托书、业务约定书和承诺函。签订委托书后，我司组织各专业的技术人员和专家组成的评价项目组，拟定项目现场调研计划，进行资料收集，包括相关法律、法规、标准、规章、规范、同类行业相关资料以及事故案例；初步的分析和危险有害因素识别，选择评价方法，编制工作计划。</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Style w:val="114"/>
          <w:rFonts w:hint="eastAsia" w:ascii="宋体" w:hAnsi="宋体" w:eastAsia="宋体" w:cs="宋体"/>
          <w:color w:val="auto"/>
          <w:kern w:val="0"/>
          <w:sz w:val="28"/>
          <w:szCs w:val="28"/>
          <w:lang w:val="zh-TW" w:eastAsia="zh-TW" w:bidi="ar-SA"/>
        </w:rPr>
      </w:pPr>
      <w:r>
        <w:rPr>
          <w:rStyle w:val="114"/>
          <w:rFonts w:hint="eastAsia" w:ascii="宋体" w:hAnsi="宋体" w:eastAsia="宋体" w:cs="宋体"/>
          <w:color w:val="auto"/>
          <w:kern w:val="0"/>
          <w:sz w:val="28"/>
          <w:szCs w:val="28"/>
          <w:lang w:val="zh-TW" w:eastAsia="zh-TW" w:bidi="ar-SA"/>
        </w:rPr>
        <w:t>第二阶段为现场调研阶段：202</w:t>
      </w:r>
      <w:r>
        <w:rPr>
          <w:rStyle w:val="114"/>
          <w:rFonts w:hint="eastAsia" w:ascii="宋体" w:hAnsi="宋体" w:eastAsia="宋体" w:cs="宋体"/>
          <w:color w:val="auto"/>
          <w:kern w:val="0"/>
          <w:sz w:val="28"/>
          <w:szCs w:val="28"/>
          <w:lang w:val="en-US" w:eastAsia="zh-CN" w:bidi="ar-SA"/>
        </w:rPr>
        <w:t>4</w:t>
      </w:r>
      <w:r>
        <w:rPr>
          <w:rStyle w:val="114"/>
          <w:rFonts w:hint="eastAsia" w:ascii="宋体" w:hAnsi="宋体" w:eastAsia="宋体" w:cs="宋体"/>
          <w:color w:val="auto"/>
          <w:kern w:val="0"/>
          <w:sz w:val="28"/>
          <w:szCs w:val="28"/>
          <w:lang w:val="zh-TW" w:eastAsia="zh-TW" w:bidi="ar-SA"/>
        </w:rPr>
        <w:t>年</w:t>
      </w:r>
      <w:r>
        <w:rPr>
          <w:rStyle w:val="114"/>
          <w:rFonts w:hint="eastAsia" w:ascii="宋体" w:hAnsi="宋体" w:cs="宋体"/>
          <w:color w:val="auto"/>
          <w:kern w:val="0"/>
          <w:sz w:val="28"/>
          <w:szCs w:val="28"/>
          <w:lang w:val="en-US" w:eastAsia="zh-CN" w:bidi="ar-SA"/>
        </w:rPr>
        <w:t>6</w:t>
      </w:r>
      <w:r>
        <w:rPr>
          <w:rStyle w:val="114"/>
          <w:rFonts w:hint="eastAsia" w:ascii="宋体" w:hAnsi="宋体" w:eastAsia="宋体" w:cs="宋体"/>
          <w:color w:val="auto"/>
          <w:kern w:val="0"/>
          <w:sz w:val="28"/>
          <w:szCs w:val="28"/>
          <w:lang w:val="zh-TW" w:eastAsia="zh-TW" w:bidi="ar-SA"/>
        </w:rPr>
        <w:t>月</w:t>
      </w:r>
      <w:r>
        <w:rPr>
          <w:rStyle w:val="114"/>
          <w:rFonts w:hint="eastAsia" w:ascii="宋体" w:hAnsi="宋体" w:cs="宋体"/>
          <w:color w:val="auto"/>
          <w:kern w:val="0"/>
          <w:sz w:val="28"/>
          <w:szCs w:val="28"/>
          <w:lang w:val="en-US" w:eastAsia="zh-CN" w:bidi="ar-SA"/>
        </w:rPr>
        <w:t>13</w:t>
      </w:r>
      <w:r>
        <w:rPr>
          <w:rStyle w:val="114"/>
          <w:rFonts w:hint="eastAsia" w:ascii="宋体" w:hAnsi="宋体" w:eastAsia="宋体" w:cs="宋体"/>
          <w:color w:val="auto"/>
          <w:kern w:val="0"/>
          <w:sz w:val="28"/>
          <w:szCs w:val="28"/>
          <w:lang w:val="zh-TW" w:eastAsia="zh-TW" w:bidi="ar-SA"/>
        </w:rPr>
        <w:t>日评价组进场对该项目周边环境和现有工程进行现场调查、实测，并收集相关评价资料</w:t>
      </w:r>
      <w:r>
        <w:rPr>
          <w:rStyle w:val="114"/>
          <w:rFonts w:hint="eastAsia" w:ascii="宋体" w:hAnsi="宋体" w:eastAsia="宋体" w:cs="宋体"/>
          <w:color w:val="auto"/>
          <w:kern w:val="0"/>
          <w:sz w:val="28"/>
          <w:szCs w:val="28"/>
          <w:lang w:val="zh-TW" w:eastAsia="zh-CN" w:bidi="ar-SA"/>
        </w:rPr>
        <w:t>，</w:t>
      </w:r>
      <w:r>
        <w:rPr>
          <w:rStyle w:val="114"/>
          <w:rFonts w:hint="eastAsia" w:ascii="宋体" w:hAnsi="宋体" w:eastAsia="宋体" w:cs="宋体"/>
          <w:color w:val="auto"/>
          <w:kern w:val="0"/>
          <w:sz w:val="28"/>
          <w:szCs w:val="28"/>
          <w:lang w:val="en-US" w:eastAsia="zh-CN" w:bidi="ar-SA"/>
        </w:rPr>
        <w:t>同时提出了整改建议</w:t>
      </w:r>
      <w:r>
        <w:rPr>
          <w:rStyle w:val="114"/>
          <w:rFonts w:hint="eastAsia" w:ascii="宋体" w:hAnsi="宋体" w:eastAsia="宋体" w:cs="宋体"/>
          <w:color w:val="auto"/>
          <w:kern w:val="0"/>
          <w:sz w:val="28"/>
          <w:szCs w:val="28"/>
          <w:lang w:val="zh-TW" w:eastAsia="zh-TW" w:bidi="ar-SA"/>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cs="宋体"/>
          <w:color w:val="auto"/>
          <w:sz w:val="28"/>
          <w:szCs w:val="28"/>
        </w:rPr>
      </w:pPr>
      <w:r>
        <w:rPr>
          <w:rStyle w:val="114"/>
          <w:rFonts w:hint="eastAsia" w:ascii="宋体" w:hAnsi="宋体" w:eastAsia="宋体" w:cs="宋体"/>
          <w:color w:val="auto"/>
          <w:kern w:val="0"/>
          <w:sz w:val="28"/>
          <w:szCs w:val="28"/>
          <w:lang w:val="zh-TW" w:eastAsia="zh-TW" w:bidi="ar-SA"/>
        </w:rPr>
        <w:t>第三阶段为实</w:t>
      </w:r>
      <w:r>
        <w:rPr>
          <w:rFonts w:hint="eastAsia" w:ascii="宋体" w:hAnsi="宋体" w:eastAsia="宋体" w:cs="宋体"/>
          <w:color w:val="auto"/>
          <w:sz w:val="28"/>
          <w:szCs w:val="28"/>
        </w:rPr>
        <w:t>施评价阶段：根据前期准备及现场获得的资料、数据，辨识与分析危险、有害因素，并确定其危险程度。合理划分评价单元，选择评价方法，进行定性、定量评价和分析，提出相应的对策措施和建议。项目组将收集到的各种资料、数据进行汇总，</w:t>
      </w:r>
      <w:r>
        <w:rPr>
          <w:rFonts w:hint="eastAsia" w:ascii="宋体" w:hAnsi="宋体" w:eastAsia="宋体" w:cs="宋体"/>
          <w:color w:val="auto"/>
          <w:sz w:val="28"/>
          <w:szCs w:val="28"/>
          <w:lang w:val="en-US" w:eastAsia="zh-CN"/>
        </w:rPr>
        <w:t>于2024年</w:t>
      </w:r>
      <w:r>
        <w:rPr>
          <w:rFonts w:hint="eastAsia" w:ascii="宋体" w:hAnsi="宋体" w:cs="宋体"/>
          <w:color w:val="auto"/>
          <w:sz w:val="28"/>
          <w:szCs w:val="28"/>
          <w:lang w:val="en-US" w:eastAsia="zh-CN"/>
        </w:rPr>
        <w:t>7</w:t>
      </w:r>
      <w:r>
        <w:rPr>
          <w:rFonts w:hint="eastAsia" w:ascii="宋体" w:hAnsi="宋体" w:eastAsia="宋体" w:cs="宋体"/>
          <w:color w:val="auto"/>
          <w:sz w:val="28"/>
          <w:szCs w:val="28"/>
          <w:lang w:val="en-US" w:eastAsia="zh-CN"/>
        </w:rPr>
        <w:t>月</w:t>
      </w:r>
      <w:r>
        <w:rPr>
          <w:rFonts w:hint="eastAsia" w:ascii="宋体" w:hAnsi="宋体" w:cs="宋体"/>
          <w:color w:val="auto"/>
          <w:sz w:val="28"/>
          <w:szCs w:val="28"/>
          <w:lang w:val="en-US" w:eastAsia="zh-CN"/>
        </w:rPr>
        <w:t>10</w:t>
      </w:r>
      <w:r>
        <w:rPr>
          <w:rFonts w:hint="eastAsia" w:ascii="宋体" w:hAnsi="宋体" w:eastAsia="宋体" w:cs="宋体"/>
          <w:color w:val="auto"/>
          <w:sz w:val="28"/>
          <w:szCs w:val="28"/>
          <w:lang w:val="en-US" w:eastAsia="zh-CN"/>
        </w:rPr>
        <w:t>日评价组再进现场对提出的整改意见进行复核，</w:t>
      </w:r>
      <w:r>
        <w:rPr>
          <w:rFonts w:hint="eastAsia" w:ascii="宋体" w:hAnsi="宋体" w:eastAsia="宋体" w:cs="宋体"/>
          <w:color w:val="auto"/>
          <w:sz w:val="28"/>
          <w:szCs w:val="28"/>
        </w:rPr>
        <w:t>综合分析后提出结论与建议，完成安全</w:t>
      </w:r>
      <w:r>
        <w:rPr>
          <w:rFonts w:hint="eastAsia" w:ascii="宋体" w:hAnsi="宋体" w:eastAsia="宋体" w:cs="宋体"/>
          <w:color w:val="auto"/>
          <w:sz w:val="28"/>
          <w:szCs w:val="28"/>
          <w:lang w:val="en-US" w:eastAsia="zh-CN"/>
        </w:rPr>
        <w:t>现状</w:t>
      </w:r>
      <w:r>
        <w:rPr>
          <w:rFonts w:hint="eastAsia" w:ascii="宋体" w:hAnsi="宋体" w:eastAsia="宋体" w:cs="宋体"/>
          <w:color w:val="auto"/>
          <w:sz w:val="28"/>
          <w:szCs w:val="28"/>
        </w:rPr>
        <w:t>评价报告书的编制。</w:t>
      </w:r>
    </w:p>
    <w:p>
      <w:pPr>
        <w:pStyle w:val="4"/>
        <w:bidi w:val="0"/>
        <w:rPr>
          <w:lang w:eastAsia="zh-CN"/>
        </w:rPr>
      </w:pPr>
      <w:bookmarkStart w:id="101" w:name="_Toc24867"/>
      <w:r>
        <w:rPr>
          <w:rFonts w:hint="eastAsia"/>
          <w:lang w:eastAsia="zh-CN"/>
        </w:rPr>
        <w:t>1.5评价基准日</w:t>
      </w:r>
      <w:bookmarkEnd w:id="101"/>
    </w:p>
    <w:p>
      <w:pPr>
        <w:wordWrap/>
        <w:topLinePunct w:val="0"/>
        <w:bidi w:val="0"/>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评价基准日：202</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年</w:t>
      </w:r>
      <w:r>
        <w:rPr>
          <w:rFonts w:hint="eastAsia" w:ascii="宋体" w:hAnsi="宋体" w:cs="宋体"/>
          <w:color w:val="auto"/>
          <w:sz w:val="28"/>
          <w:szCs w:val="28"/>
          <w:lang w:val="en-US" w:eastAsia="zh-CN"/>
        </w:rPr>
        <w:t>6</w:t>
      </w:r>
      <w:r>
        <w:rPr>
          <w:rFonts w:hint="eastAsia" w:ascii="宋体" w:hAnsi="宋体" w:eastAsia="宋体" w:cs="宋体"/>
          <w:color w:val="auto"/>
          <w:sz w:val="28"/>
          <w:szCs w:val="28"/>
        </w:rPr>
        <w:t>月</w:t>
      </w:r>
      <w:r>
        <w:rPr>
          <w:rFonts w:hint="eastAsia" w:ascii="宋体" w:hAnsi="宋体" w:cs="宋体"/>
          <w:color w:val="auto"/>
          <w:sz w:val="28"/>
          <w:szCs w:val="28"/>
          <w:lang w:val="en-US" w:eastAsia="zh-CN"/>
        </w:rPr>
        <w:t>14</w:t>
      </w:r>
      <w:r>
        <w:rPr>
          <w:rFonts w:hint="eastAsia" w:ascii="宋体" w:hAnsi="宋体" w:eastAsia="宋体" w:cs="宋体"/>
          <w:color w:val="auto"/>
          <w:sz w:val="28"/>
          <w:szCs w:val="28"/>
        </w:rPr>
        <w:t>日。</w:t>
      </w:r>
      <w:bookmarkStart w:id="102" w:name="_Toc350324534"/>
    </w:p>
    <w:p>
      <w:pPr>
        <w:wordWrap/>
        <w:topLinePunct w:val="0"/>
        <w:bidi w:val="0"/>
        <w:textAlignment w:val="auto"/>
        <w:rPr>
          <w:rFonts w:hint="eastAsia" w:ascii="宋体" w:hAnsi="宋体"/>
          <w:color w:val="auto"/>
        </w:rPr>
      </w:pPr>
    </w:p>
    <w:p>
      <w:pPr>
        <w:wordWrap/>
        <w:topLinePunct w:val="0"/>
        <w:bidi w:val="0"/>
        <w:textAlignment w:val="auto"/>
        <w:rPr>
          <w:rFonts w:hint="eastAsia" w:ascii="宋体" w:hAnsi="宋体"/>
          <w:color w:val="auto"/>
        </w:rPr>
        <w:sectPr>
          <w:footerReference r:id="rId6" w:type="default"/>
          <w:pgSz w:w="11907" w:h="16840"/>
          <w:pgMar w:top="1417" w:right="1417" w:bottom="1417" w:left="1417" w:header="1191" w:footer="794" w:gutter="0"/>
          <w:pgNumType w:fmt="decimal" w:start="1"/>
          <w:cols w:space="720" w:num="1"/>
          <w:docGrid w:type="linesAndChars" w:linePitch="317" w:charSpace="0"/>
        </w:sectPr>
      </w:pPr>
    </w:p>
    <w:p>
      <w:pPr>
        <w:pStyle w:val="3"/>
        <w:bidi w:val="0"/>
        <w:rPr>
          <w:rFonts w:hint="eastAsia"/>
          <w:lang w:eastAsia="zh-CN"/>
        </w:rPr>
      </w:pPr>
      <w:bookmarkStart w:id="103" w:name="_Toc15452"/>
      <w:r>
        <w:rPr>
          <w:rFonts w:hint="eastAsia"/>
          <w:lang w:eastAsia="zh-CN"/>
        </w:rPr>
        <w:t>第2章</w:t>
      </w:r>
      <w:r>
        <w:rPr>
          <w:rFonts w:hint="eastAsia"/>
          <w:lang w:val="en-US" w:eastAsia="zh-CN"/>
        </w:rPr>
        <w:t xml:space="preserve">  </w:t>
      </w:r>
      <w:r>
        <w:rPr>
          <w:rFonts w:hint="eastAsia"/>
          <w:lang w:eastAsia="zh-CN"/>
        </w:rPr>
        <w:t>项目概述</w:t>
      </w:r>
      <w:bookmarkEnd w:id="102"/>
      <w:bookmarkEnd w:id="103"/>
    </w:p>
    <w:p>
      <w:pPr>
        <w:pStyle w:val="4"/>
        <w:bidi w:val="0"/>
        <w:rPr>
          <w:rFonts w:hint="eastAsia"/>
          <w:lang w:eastAsia="zh-CN"/>
        </w:rPr>
      </w:pPr>
      <w:bookmarkStart w:id="104" w:name="_Toc350324535"/>
      <w:bookmarkStart w:id="105" w:name="_Toc5760"/>
      <w:r>
        <w:rPr>
          <w:rFonts w:hint="eastAsia"/>
          <w:lang w:eastAsia="zh-CN"/>
        </w:rPr>
        <w:t>2.1项目概况</w:t>
      </w:r>
      <w:bookmarkEnd w:id="104"/>
      <w:bookmarkEnd w:id="105"/>
    </w:p>
    <w:p>
      <w:pPr>
        <w:pStyle w:val="5"/>
        <w:bidi w:val="0"/>
        <w:rPr>
          <w:rFonts w:hint="eastAsia"/>
          <w:lang w:eastAsia="zh-CN"/>
        </w:rPr>
      </w:pPr>
      <w:bookmarkStart w:id="106" w:name="_Toc102829669"/>
      <w:bookmarkStart w:id="107" w:name="_Toc32599"/>
      <w:r>
        <w:rPr>
          <w:rFonts w:hint="eastAsia"/>
          <w:lang w:eastAsia="zh-CN"/>
        </w:rPr>
        <w:t>2.1.1项目单位简介</w:t>
      </w:r>
      <w:bookmarkEnd w:id="106"/>
      <w:bookmarkEnd w:id="107"/>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bookmarkStart w:id="108" w:name="_Toc32609"/>
      <w:r>
        <w:rPr>
          <w:rFonts w:hint="eastAsia" w:ascii="宋体" w:hAnsi="宋体" w:eastAsia="宋体" w:cs="宋体"/>
          <w:color w:val="auto"/>
          <w:sz w:val="28"/>
          <w:szCs w:val="28"/>
          <w:lang w:eastAsia="zh-CN"/>
        </w:rPr>
        <w:t>牟定共和西山寺砂场</w:t>
      </w:r>
      <w:r>
        <w:rPr>
          <w:rFonts w:hint="eastAsia" w:ascii="宋体" w:hAnsi="宋体" w:eastAsia="宋体" w:cs="宋体"/>
          <w:color w:val="auto"/>
          <w:sz w:val="28"/>
          <w:szCs w:val="28"/>
        </w:rPr>
        <w:t>采矿权人为牟定共和西山寺砂场，</w:t>
      </w:r>
      <w:r>
        <w:rPr>
          <w:rFonts w:hint="eastAsia" w:ascii="宋体" w:hAnsi="宋体" w:eastAsia="宋体" w:cs="宋体"/>
          <w:color w:val="auto"/>
          <w:sz w:val="28"/>
          <w:szCs w:val="28"/>
          <w:lang w:val="en-US" w:eastAsia="zh-CN"/>
        </w:rPr>
        <w:t>企业类型为个体工商户</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主要经营建筑用砂露天开采、加工、</w:t>
      </w:r>
      <w:r>
        <w:rPr>
          <w:rFonts w:hint="eastAsia" w:ascii="宋体" w:hAnsi="宋体" w:eastAsia="宋体" w:cs="宋体"/>
          <w:color w:val="auto"/>
          <w:sz w:val="28"/>
          <w:szCs w:val="28"/>
        </w:rPr>
        <w:t>销售</w:t>
      </w:r>
      <w:r>
        <w:rPr>
          <w:rFonts w:hint="eastAsia" w:ascii="宋体" w:hAnsi="宋体" w:eastAsia="宋体" w:cs="宋体"/>
          <w:color w:val="auto"/>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2023年11月6日企业延续了采矿许可证，生产规模2.42万m³/a，开采方式为露天开采，开采矿种为建筑砂岩。在采矿许可证延续期间，原安全生产许可证有效期到期（有效期：自2020年11月11日至2023年11月10日）。在牟定县应急管理局于2023年11月8现场安全检查过程中发现矿山存在安全隐患，并下发安全生产执法文书《责令限期整改指令书》（牟）应急责改【2023】非煤106号，但因矿山采矿到界以及安全生产许可证到期等原因无法及时完成整改，经企业方向牟定县应急管理局申请后，牟定县应急管理局同意矿山延期至2024年4月20日前完成整改。现矿山已整改完成，企业正在办理安全生产许可证延期换证手续</w:t>
      </w:r>
      <w:r>
        <w:rPr>
          <w:rFonts w:hint="eastAsia" w:ascii="宋体" w:hAnsi="宋体" w:eastAsia="宋体" w:cs="宋体"/>
          <w:color w:val="auto"/>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建设单位取得的主要证照信息如下：</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cs="宋体"/>
          <w:color w:val="auto"/>
          <w:sz w:val="28"/>
          <w:szCs w:val="28"/>
          <w:lang w:val="en-US" w:eastAsia="zh-CN"/>
        </w:rPr>
        <w:t>1.</w:t>
      </w:r>
      <w:r>
        <w:rPr>
          <w:rFonts w:hint="eastAsia" w:ascii="宋体" w:hAnsi="宋体" w:eastAsia="宋体" w:cs="宋体"/>
          <w:color w:val="auto"/>
          <w:sz w:val="28"/>
          <w:szCs w:val="28"/>
        </w:rPr>
        <w:t>营业执照情况如下：</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统一社会信用代码：</w:t>
      </w:r>
      <w:r>
        <w:rPr>
          <w:rFonts w:hint="eastAsia" w:ascii="宋体" w:hAnsi="宋体" w:eastAsia="宋体" w:cs="宋体"/>
          <w:color w:val="auto"/>
          <w:sz w:val="28"/>
          <w:szCs w:val="28"/>
          <w:lang w:val="en-US" w:eastAsia="zh-CN"/>
        </w:rPr>
        <w:t>92532323MA6MGWTH6D</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名    称：</w:t>
      </w:r>
      <w:r>
        <w:rPr>
          <w:rFonts w:hint="eastAsia" w:ascii="宋体" w:hAnsi="宋体" w:eastAsia="宋体" w:cs="宋体"/>
          <w:color w:val="auto"/>
          <w:sz w:val="28"/>
          <w:szCs w:val="28"/>
          <w:lang w:eastAsia="zh-CN"/>
        </w:rPr>
        <w:t>牟定共和西山寺砂场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组成形式：个人经营</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类    型：</w:t>
      </w:r>
      <w:r>
        <w:rPr>
          <w:rFonts w:hint="eastAsia" w:ascii="宋体" w:hAnsi="宋体" w:eastAsia="宋体" w:cs="宋体"/>
          <w:color w:val="auto"/>
          <w:sz w:val="28"/>
          <w:szCs w:val="28"/>
          <w:lang w:val="en-US" w:eastAsia="zh-CN"/>
        </w:rPr>
        <w:t>个体工商户</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注册日期</w:t>
      </w:r>
      <w:r>
        <w:rPr>
          <w:rFonts w:hint="eastAsia" w:ascii="宋体" w:hAnsi="宋体" w:eastAsia="宋体" w:cs="宋体"/>
          <w:color w:val="auto"/>
          <w:sz w:val="28"/>
          <w:szCs w:val="28"/>
        </w:rPr>
        <w:t>：20</w:t>
      </w:r>
      <w:r>
        <w:rPr>
          <w:rFonts w:hint="eastAsia" w:ascii="宋体" w:hAnsi="宋体" w:eastAsia="宋体" w:cs="宋体"/>
          <w:color w:val="auto"/>
          <w:sz w:val="28"/>
          <w:szCs w:val="28"/>
          <w:lang w:val="en-US" w:eastAsia="zh-CN"/>
        </w:rPr>
        <w:t>11</w:t>
      </w:r>
      <w:r>
        <w:rPr>
          <w:rFonts w:hint="eastAsia" w:ascii="宋体" w:hAnsi="宋体" w:eastAsia="宋体" w:cs="宋体"/>
          <w:color w:val="auto"/>
          <w:sz w:val="28"/>
          <w:szCs w:val="28"/>
        </w:rPr>
        <w:t>年06月</w:t>
      </w:r>
      <w:r>
        <w:rPr>
          <w:rFonts w:hint="eastAsia" w:ascii="宋体" w:hAnsi="宋体" w:eastAsia="宋体" w:cs="宋体"/>
          <w:color w:val="auto"/>
          <w:sz w:val="28"/>
          <w:szCs w:val="28"/>
          <w:lang w:val="en-US" w:eastAsia="zh-CN"/>
        </w:rPr>
        <w:t>23</w:t>
      </w:r>
      <w:r>
        <w:rPr>
          <w:rFonts w:hint="eastAsia" w:ascii="宋体" w:hAnsi="宋体" w:eastAsia="宋体" w:cs="宋体"/>
          <w:color w:val="auto"/>
          <w:sz w:val="28"/>
          <w:szCs w:val="28"/>
        </w:rPr>
        <w:t>日</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val="en-US" w:eastAsia="zh-CN"/>
        </w:rPr>
        <w:t>经 营 者</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代俊</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经营场所</w:t>
      </w:r>
      <w:r>
        <w:rPr>
          <w:rFonts w:hint="eastAsia" w:ascii="宋体" w:hAnsi="宋体" w:eastAsia="宋体" w:cs="宋体"/>
          <w:color w:val="auto"/>
          <w:sz w:val="28"/>
          <w:szCs w:val="28"/>
        </w:rPr>
        <w:t>：云南省</w:t>
      </w:r>
      <w:r>
        <w:rPr>
          <w:rFonts w:hint="eastAsia" w:ascii="宋体" w:hAnsi="宋体" w:eastAsia="宋体" w:cs="宋体"/>
          <w:color w:val="auto"/>
          <w:sz w:val="28"/>
          <w:szCs w:val="28"/>
          <w:lang w:val="en-US" w:eastAsia="zh-CN"/>
        </w:rPr>
        <w:t>楚雄彝族自治州牟定县共和镇西山寺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经营范围：</w:t>
      </w:r>
      <w:r>
        <w:rPr>
          <w:rFonts w:hint="eastAsia" w:ascii="宋体" w:hAnsi="宋体" w:eastAsia="宋体" w:cs="宋体"/>
          <w:color w:val="auto"/>
          <w:sz w:val="28"/>
          <w:szCs w:val="28"/>
          <w:lang w:val="en-US" w:eastAsia="zh-CN"/>
        </w:rPr>
        <w:t>建筑用砂露天开采、加工、</w:t>
      </w:r>
      <w:r>
        <w:rPr>
          <w:rFonts w:hint="eastAsia" w:ascii="宋体" w:hAnsi="宋体" w:eastAsia="宋体" w:cs="宋体"/>
          <w:color w:val="auto"/>
          <w:sz w:val="28"/>
          <w:szCs w:val="28"/>
        </w:rPr>
        <w:t>销售（依法须经批准的项目，经相关部门批准后方可开展经营活动）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登记机关：</w:t>
      </w:r>
      <w:r>
        <w:rPr>
          <w:rFonts w:hint="eastAsia" w:ascii="宋体" w:hAnsi="宋体" w:eastAsia="宋体" w:cs="宋体"/>
          <w:color w:val="auto"/>
          <w:sz w:val="28"/>
          <w:szCs w:val="28"/>
          <w:lang w:val="en-US" w:eastAsia="zh-CN"/>
        </w:rPr>
        <w:t>牟定县行政审批</w:t>
      </w:r>
      <w:r>
        <w:rPr>
          <w:rFonts w:hint="eastAsia" w:ascii="宋体" w:hAnsi="宋体" w:eastAsia="宋体" w:cs="宋体"/>
          <w:color w:val="auto"/>
          <w:sz w:val="28"/>
          <w:szCs w:val="28"/>
        </w:rPr>
        <w:t>局</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登记日期：20</w:t>
      </w:r>
      <w:r>
        <w:rPr>
          <w:rFonts w:hint="eastAsia" w:ascii="宋体" w:hAnsi="宋体" w:eastAsia="宋体" w:cs="宋体"/>
          <w:color w:val="auto"/>
          <w:sz w:val="28"/>
          <w:szCs w:val="28"/>
          <w:lang w:val="en-US" w:eastAsia="zh-CN"/>
        </w:rPr>
        <w:t>23</w:t>
      </w:r>
      <w:r>
        <w:rPr>
          <w:rFonts w:hint="eastAsia" w:ascii="宋体" w:hAnsi="宋体" w:eastAsia="宋体" w:cs="宋体"/>
          <w:color w:val="auto"/>
          <w:sz w:val="28"/>
          <w:szCs w:val="28"/>
        </w:rPr>
        <w:t>年</w:t>
      </w:r>
      <w:r>
        <w:rPr>
          <w:rFonts w:hint="eastAsia" w:ascii="宋体" w:hAnsi="宋体" w:eastAsia="宋体" w:cs="宋体"/>
          <w:color w:val="auto"/>
          <w:sz w:val="28"/>
          <w:szCs w:val="28"/>
          <w:lang w:val="en-US" w:eastAsia="zh-CN"/>
        </w:rPr>
        <w:t>10</w:t>
      </w:r>
      <w:r>
        <w:rPr>
          <w:rFonts w:hint="eastAsia" w:ascii="宋体" w:hAnsi="宋体" w:eastAsia="宋体" w:cs="宋体"/>
          <w:color w:val="auto"/>
          <w:sz w:val="28"/>
          <w:szCs w:val="28"/>
        </w:rPr>
        <w:t>月1</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日</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cs="宋体"/>
          <w:color w:val="auto"/>
          <w:sz w:val="28"/>
          <w:szCs w:val="28"/>
          <w:lang w:val="en-US" w:eastAsia="zh-CN"/>
        </w:rPr>
        <w:t>2.</w:t>
      </w:r>
      <w:r>
        <w:rPr>
          <w:rFonts w:hint="eastAsia" w:ascii="宋体" w:hAnsi="宋体" w:eastAsia="宋体" w:cs="宋体"/>
          <w:color w:val="auto"/>
          <w:sz w:val="28"/>
          <w:szCs w:val="28"/>
        </w:rPr>
        <w:t>采矿许可证情况如下：</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证    号：C5323232010107130083117</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采矿权人：</w:t>
      </w:r>
      <w:r>
        <w:rPr>
          <w:rFonts w:hint="eastAsia" w:ascii="宋体" w:hAnsi="宋体" w:eastAsia="宋体" w:cs="宋体"/>
          <w:color w:val="auto"/>
          <w:sz w:val="28"/>
          <w:szCs w:val="28"/>
          <w:lang w:eastAsia="zh-CN"/>
        </w:rPr>
        <w:t>牟定共和西山寺砂场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地    址：云南省</w:t>
      </w:r>
      <w:r>
        <w:rPr>
          <w:rFonts w:hint="eastAsia" w:ascii="宋体" w:hAnsi="宋体" w:eastAsia="宋体" w:cs="宋体"/>
          <w:color w:val="auto"/>
          <w:sz w:val="28"/>
          <w:szCs w:val="28"/>
          <w:lang w:val="en-US" w:eastAsia="zh-CN"/>
        </w:rPr>
        <w:t>楚雄彝族自治州牟定县共和镇西山寺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矿山名称：</w:t>
      </w:r>
      <w:r>
        <w:rPr>
          <w:rFonts w:hint="eastAsia" w:ascii="宋体" w:hAnsi="宋体" w:eastAsia="宋体" w:cs="宋体"/>
          <w:color w:val="auto"/>
          <w:sz w:val="28"/>
          <w:szCs w:val="28"/>
          <w:lang w:eastAsia="zh-CN"/>
        </w:rPr>
        <w:t>牟定共和西山寺砂场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经济类型：私营</w:t>
      </w:r>
      <w:r>
        <w:rPr>
          <w:rFonts w:hint="eastAsia" w:ascii="宋体" w:hAnsi="宋体" w:eastAsia="宋体" w:cs="宋体"/>
          <w:color w:val="auto"/>
          <w:sz w:val="28"/>
          <w:szCs w:val="28"/>
          <w:lang w:val="en-US" w:eastAsia="zh-CN"/>
        </w:rPr>
        <w:t>独资企业</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开采矿种：建筑用</w:t>
      </w:r>
      <w:r>
        <w:rPr>
          <w:rFonts w:hint="eastAsia" w:ascii="宋体" w:hAnsi="宋体" w:eastAsia="宋体" w:cs="宋体"/>
          <w:color w:val="auto"/>
          <w:sz w:val="28"/>
          <w:szCs w:val="28"/>
          <w:lang w:val="en-US" w:eastAsia="zh-CN"/>
        </w:rPr>
        <w:t>砂</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开采方式：露天开采</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生产规模：</w:t>
      </w:r>
      <w:r>
        <w:rPr>
          <w:rFonts w:hint="eastAsia" w:ascii="宋体" w:hAnsi="宋体" w:eastAsia="宋体" w:cs="宋体"/>
          <w:color w:val="auto"/>
          <w:sz w:val="28"/>
          <w:szCs w:val="28"/>
          <w:lang w:val="en-US" w:eastAsia="zh-CN"/>
        </w:rPr>
        <w:t>2.42</w:t>
      </w:r>
      <w:r>
        <w:rPr>
          <w:rFonts w:hint="eastAsia" w:ascii="宋体" w:hAnsi="宋体" w:eastAsia="宋体" w:cs="宋体"/>
          <w:color w:val="auto"/>
          <w:sz w:val="28"/>
          <w:szCs w:val="28"/>
        </w:rPr>
        <w:t>万</w:t>
      </w:r>
      <w:r>
        <w:rPr>
          <w:rFonts w:hint="eastAsia" w:ascii="宋体" w:hAnsi="宋体" w:eastAsia="宋体" w:cs="宋体"/>
          <w:color w:val="auto"/>
          <w:sz w:val="28"/>
          <w:szCs w:val="28"/>
          <w:lang w:val="en-US" w:eastAsia="zh-CN"/>
        </w:rPr>
        <w:t>立方米</w:t>
      </w:r>
      <w:r>
        <w:rPr>
          <w:rFonts w:hint="eastAsia" w:ascii="宋体" w:hAnsi="宋体" w:eastAsia="宋体" w:cs="宋体"/>
          <w:color w:val="auto"/>
          <w:sz w:val="28"/>
          <w:szCs w:val="28"/>
        </w:rPr>
        <w:t>/年</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矿区面积：0.0</w:t>
      </w:r>
      <w:r>
        <w:rPr>
          <w:rFonts w:hint="eastAsia" w:ascii="宋体" w:hAnsi="宋体" w:eastAsia="宋体" w:cs="宋体"/>
          <w:color w:val="auto"/>
          <w:sz w:val="28"/>
          <w:szCs w:val="28"/>
          <w:lang w:val="en-US" w:eastAsia="zh-CN"/>
        </w:rPr>
        <w:t>451</w:t>
      </w:r>
      <w:r>
        <w:rPr>
          <w:rFonts w:hint="eastAsia" w:ascii="宋体" w:hAnsi="宋体" w:eastAsia="宋体" w:cs="宋体"/>
          <w:color w:val="auto"/>
          <w:sz w:val="28"/>
          <w:szCs w:val="28"/>
        </w:rPr>
        <w:t>平方公里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有效期限：</w:t>
      </w:r>
      <w:r>
        <w:rPr>
          <w:rFonts w:hint="eastAsia" w:ascii="宋体" w:hAnsi="宋体" w:eastAsia="宋体" w:cs="宋体"/>
          <w:color w:val="auto"/>
          <w:sz w:val="28"/>
          <w:szCs w:val="28"/>
          <w:lang w:val="en-US" w:eastAsia="zh-CN"/>
        </w:rPr>
        <w:t>3.00</w:t>
      </w:r>
      <w:r>
        <w:rPr>
          <w:rFonts w:hint="eastAsia" w:ascii="宋体" w:hAnsi="宋体" w:eastAsia="宋体" w:cs="宋体"/>
          <w:color w:val="auto"/>
          <w:sz w:val="28"/>
          <w:szCs w:val="28"/>
        </w:rPr>
        <w:t>年  自202</w:t>
      </w: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rPr>
        <w:t>年1</w:t>
      </w: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月</w:t>
      </w:r>
      <w:r>
        <w:rPr>
          <w:rFonts w:hint="eastAsia" w:ascii="宋体" w:hAnsi="宋体" w:eastAsia="宋体" w:cs="宋体"/>
          <w:color w:val="auto"/>
          <w:sz w:val="28"/>
          <w:szCs w:val="28"/>
          <w:lang w:val="en-US" w:eastAsia="zh-CN"/>
        </w:rPr>
        <w:t>16</w:t>
      </w:r>
      <w:r>
        <w:rPr>
          <w:rFonts w:hint="eastAsia" w:ascii="宋体" w:hAnsi="宋体" w:eastAsia="宋体" w:cs="宋体"/>
          <w:color w:val="auto"/>
          <w:sz w:val="28"/>
          <w:szCs w:val="28"/>
        </w:rPr>
        <w:t>日至202</w:t>
      </w:r>
      <w:r>
        <w:rPr>
          <w:rFonts w:hint="eastAsia" w:ascii="宋体" w:hAnsi="宋体" w:eastAsia="宋体" w:cs="宋体"/>
          <w:color w:val="auto"/>
          <w:sz w:val="28"/>
          <w:szCs w:val="28"/>
          <w:lang w:val="en-US" w:eastAsia="zh-CN"/>
        </w:rPr>
        <w:t>6</w:t>
      </w:r>
      <w:r>
        <w:rPr>
          <w:rFonts w:hint="eastAsia" w:ascii="宋体" w:hAnsi="宋体" w:eastAsia="宋体" w:cs="宋体"/>
          <w:color w:val="auto"/>
          <w:sz w:val="28"/>
          <w:szCs w:val="28"/>
        </w:rPr>
        <w:t>年1</w:t>
      </w: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月</w:t>
      </w:r>
      <w:r>
        <w:rPr>
          <w:rFonts w:hint="eastAsia" w:ascii="宋体" w:hAnsi="宋体" w:eastAsia="宋体" w:cs="宋体"/>
          <w:color w:val="auto"/>
          <w:sz w:val="28"/>
          <w:szCs w:val="28"/>
          <w:lang w:val="en-US" w:eastAsia="zh-CN"/>
        </w:rPr>
        <w:t>15</w:t>
      </w:r>
      <w:r>
        <w:rPr>
          <w:rFonts w:hint="eastAsia" w:ascii="宋体" w:hAnsi="宋体" w:eastAsia="宋体" w:cs="宋体"/>
          <w:color w:val="auto"/>
          <w:sz w:val="28"/>
          <w:szCs w:val="28"/>
        </w:rPr>
        <w:t>日</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发证机关：</w:t>
      </w:r>
      <w:r>
        <w:rPr>
          <w:rFonts w:hint="eastAsia" w:ascii="宋体" w:hAnsi="宋体" w:eastAsia="宋体" w:cs="宋体"/>
          <w:color w:val="auto"/>
          <w:sz w:val="28"/>
          <w:szCs w:val="28"/>
          <w:lang w:val="en-US" w:eastAsia="zh-CN"/>
        </w:rPr>
        <w:t>牟定县</w:t>
      </w:r>
      <w:r>
        <w:rPr>
          <w:rFonts w:hint="eastAsia" w:ascii="宋体" w:hAnsi="宋体" w:eastAsia="宋体" w:cs="宋体"/>
          <w:color w:val="auto"/>
          <w:sz w:val="28"/>
          <w:szCs w:val="28"/>
        </w:rPr>
        <w:t>自然资源局</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发证日期：</w:t>
      </w:r>
      <w:r>
        <w:rPr>
          <w:rFonts w:hint="eastAsia" w:ascii="宋体" w:hAnsi="宋体" w:eastAsia="宋体" w:cs="宋体"/>
          <w:color w:val="auto"/>
          <w:sz w:val="28"/>
          <w:szCs w:val="28"/>
          <w:lang w:val="en-US" w:eastAsia="zh-CN"/>
        </w:rPr>
        <w:t>2023</w:t>
      </w:r>
      <w:r>
        <w:rPr>
          <w:rFonts w:hint="eastAsia" w:ascii="宋体" w:hAnsi="宋体" w:eastAsia="宋体" w:cs="宋体"/>
          <w:color w:val="auto"/>
          <w:sz w:val="28"/>
          <w:szCs w:val="28"/>
        </w:rPr>
        <w:t>年</w:t>
      </w:r>
      <w:r>
        <w:rPr>
          <w:rFonts w:hint="eastAsia" w:ascii="宋体" w:hAnsi="宋体" w:eastAsia="宋体" w:cs="宋体"/>
          <w:color w:val="auto"/>
          <w:sz w:val="28"/>
          <w:szCs w:val="28"/>
          <w:lang w:val="en-US" w:eastAsia="zh-CN"/>
        </w:rPr>
        <w:t>11</w:t>
      </w:r>
      <w:r>
        <w:rPr>
          <w:rFonts w:hint="eastAsia" w:ascii="宋体" w:hAnsi="宋体" w:eastAsia="宋体" w:cs="宋体"/>
          <w:color w:val="auto"/>
          <w:sz w:val="28"/>
          <w:szCs w:val="28"/>
        </w:rPr>
        <w:t>月</w:t>
      </w:r>
      <w:r>
        <w:rPr>
          <w:rFonts w:hint="eastAsia" w:ascii="宋体" w:hAnsi="宋体" w:eastAsia="宋体" w:cs="宋体"/>
          <w:color w:val="auto"/>
          <w:sz w:val="28"/>
          <w:szCs w:val="28"/>
          <w:lang w:val="en-US" w:eastAsia="zh-CN"/>
        </w:rPr>
        <w:t>16</w:t>
      </w:r>
      <w:r>
        <w:rPr>
          <w:rFonts w:hint="eastAsia" w:ascii="宋体" w:hAnsi="宋体" w:eastAsia="宋体" w:cs="宋体"/>
          <w:color w:val="auto"/>
          <w:sz w:val="28"/>
          <w:szCs w:val="28"/>
        </w:rPr>
        <w:t>日</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矿区范围由</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个拐点圈定，拐点范围坐标见表</w:t>
      </w:r>
      <w:r>
        <w:rPr>
          <w:rFonts w:hint="eastAsia" w:ascii="宋体" w:hAnsi="宋体" w:cs="宋体"/>
          <w:color w:val="auto"/>
          <w:sz w:val="28"/>
          <w:szCs w:val="28"/>
          <w:lang w:val="en-US" w:eastAsia="zh-CN"/>
        </w:rPr>
        <w:t>2-1</w:t>
      </w:r>
      <w:r>
        <w:rPr>
          <w:rFonts w:hint="eastAsia" w:ascii="宋体" w:hAnsi="宋体" w:eastAsia="宋体" w:cs="宋体"/>
          <w:color w:val="auto"/>
          <w:sz w:val="28"/>
          <w:szCs w:val="28"/>
        </w:rPr>
        <w:t>。</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表2-1矿区拐点坐标表</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1"/>
        <w:gridCol w:w="3026"/>
        <w:gridCol w:w="32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421" w:type="dxa"/>
            <w:vMerge w:val="restart"/>
            <w:noWrap w:val="0"/>
            <w:vAlign w:val="center"/>
          </w:tcPr>
          <w:p>
            <w:pPr>
              <w:pageBreakBefore w:val="0"/>
              <w:widowControl/>
              <w:wordWrap/>
              <w:bidi w:val="0"/>
              <w:spacing w:line="360" w:lineRule="auto"/>
              <w:ind w:firstLine="0" w:firstLineChars="0"/>
              <w:jc w:val="center"/>
              <w:rPr>
                <w:color w:val="000000"/>
                <w:kern w:val="0"/>
                <w:sz w:val="21"/>
                <w:szCs w:val="21"/>
              </w:rPr>
            </w:pPr>
            <w:r>
              <w:rPr>
                <w:color w:val="000000"/>
                <w:kern w:val="0"/>
                <w:sz w:val="21"/>
                <w:szCs w:val="21"/>
              </w:rPr>
              <w:t>拐点编号</w:t>
            </w:r>
          </w:p>
        </w:tc>
        <w:tc>
          <w:tcPr>
            <w:tcW w:w="6300" w:type="dxa"/>
            <w:gridSpan w:val="2"/>
            <w:noWrap w:val="0"/>
            <w:vAlign w:val="center"/>
          </w:tcPr>
          <w:p>
            <w:pPr>
              <w:pageBreakBefore w:val="0"/>
              <w:widowControl/>
              <w:wordWrap/>
              <w:bidi w:val="0"/>
              <w:spacing w:line="360" w:lineRule="auto"/>
              <w:ind w:firstLine="0" w:firstLineChars="0"/>
              <w:jc w:val="center"/>
              <w:rPr>
                <w:color w:val="000000"/>
                <w:kern w:val="0"/>
                <w:sz w:val="21"/>
                <w:szCs w:val="21"/>
              </w:rPr>
            </w:pPr>
            <w:r>
              <w:rPr>
                <w:color w:val="000000"/>
                <w:kern w:val="0"/>
                <w:sz w:val="21"/>
                <w:szCs w:val="21"/>
              </w:rPr>
              <w:t>1980西安坐标系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421" w:type="dxa"/>
            <w:vMerge w:val="continue"/>
            <w:noWrap w:val="0"/>
            <w:vAlign w:val="center"/>
          </w:tcPr>
          <w:p>
            <w:pPr>
              <w:pageBreakBefore w:val="0"/>
              <w:widowControl/>
              <w:wordWrap/>
              <w:bidi w:val="0"/>
              <w:spacing w:line="360" w:lineRule="auto"/>
              <w:ind w:firstLine="0" w:firstLineChars="0"/>
              <w:jc w:val="center"/>
              <w:rPr>
                <w:color w:val="000000"/>
                <w:kern w:val="0"/>
                <w:sz w:val="21"/>
                <w:szCs w:val="21"/>
              </w:rPr>
            </w:pPr>
          </w:p>
        </w:tc>
        <w:tc>
          <w:tcPr>
            <w:tcW w:w="3026" w:type="dxa"/>
            <w:noWrap w:val="0"/>
            <w:vAlign w:val="center"/>
          </w:tcPr>
          <w:p>
            <w:pPr>
              <w:pageBreakBefore w:val="0"/>
              <w:widowControl/>
              <w:wordWrap/>
              <w:bidi w:val="0"/>
              <w:spacing w:line="360" w:lineRule="auto"/>
              <w:ind w:firstLine="0" w:firstLineChars="0"/>
              <w:jc w:val="center"/>
              <w:rPr>
                <w:color w:val="000000"/>
                <w:kern w:val="0"/>
                <w:sz w:val="21"/>
                <w:szCs w:val="21"/>
              </w:rPr>
            </w:pPr>
            <w:r>
              <w:rPr>
                <w:color w:val="000000"/>
                <w:kern w:val="0"/>
                <w:sz w:val="21"/>
                <w:szCs w:val="21"/>
              </w:rPr>
              <w:t>X坐标</w:t>
            </w:r>
          </w:p>
        </w:tc>
        <w:tc>
          <w:tcPr>
            <w:tcW w:w="3274" w:type="dxa"/>
            <w:noWrap w:val="0"/>
            <w:vAlign w:val="center"/>
          </w:tcPr>
          <w:p>
            <w:pPr>
              <w:pageBreakBefore w:val="0"/>
              <w:widowControl/>
              <w:wordWrap/>
              <w:bidi w:val="0"/>
              <w:spacing w:line="360" w:lineRule="auto"/>
              <w:ind w:firstLine="0" w:firstLineChars="0"/>
              <w:jc w:val="center"/>
              <w:rPr>
                <w:color w:val="000000"/>
                <w:kern w:val="0"/>
                <w:sz w:val="21"/>
                <w:szCs w:val="21"/>
              </w:rPr>
            </w:pPr>
            <w:r>
              <w:rPr>
                <w:color w:val="000000"/>
                <w:kern w:val="0"/>
                <w:sz w:val="21"/>
                <w:szCs w:val="21"/>
              </w:rPr>
              <w:t>Y坐标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421" w:type="dxa"/>
            <w:noWrap w:val="0"/>
            <w:vAlign w:val="center"/>
          </w:tcPr>
          <w:p>
            <w:pPr>
              <w:pageBreakBefore w:val="0"/>
              <w:widowControl/>
              <w:wordWrap/>
              <w:bidi w:val="0"/>
              <w:spacing w:line="360" w:lineRule="auto"/>
              <w:ind w:firstLine="0" w:firstLineChars="0"/>
              <w:jc w:val="center"/>
              <w:rPr>
                <w:color w:val="000000"/>
                <w:kern w:val="0"/>
                <w:sz w:val="21"/>
                <w:szCs w:val="21"/>
              </w:rPr>
            </w:pPr>
            <w:r>
              <w:rPr>
                <w:color w:val="000000"/>
                <w:kern w:val="0"/>
                <w:sz w:val="21"/>
                <w:szCs w:val="21"/>
              </w:rPr>
              <w:t>矿1</w:t>
            </w:r>
          </w:p>
        </w:tc>
        <w:tc>
          <w:tcPr>
            <w:tcW w:w="3026" w:type="dxa"/>
            <w:noWrap w:val="0"/>
            <w:vAlign w:val="center"/>
          </w:tcPr>
          <w:p>
            <w:pPr>
              <w:pageBreakBefore w:val="0"/>
              <w:widowControl/>
              <w:wordWrap/>
              <w:bidi w:val="0"/>
              <w:spacing w:line="360" w:lineRule="auto"/>
              <w:ind w:firstLine="0" w:firstLineChars="0"/>
              <w:jc w:val="center"/>
              <w:rPr>
                <w:color w:val="000000"/>
                <w:kern w:val="0"/>
                <w:sz w:val="21"/>
                <w:szCs w:val="21"/>
              </w:rPr>
            </w:pPr>
            <w:r>
              <w:rPr>
                <w:color w:val="000000"/>
                <w:kern w:val="0"/>
                <w:sz w:val="21"/>
                <w:szCs w:val="21"/>
              </w:rPr>
              <w:t>2804352.94</w:t>
            </w:r>
          </w:p>
        </w:tc>
        <w:tc>
          <w:tcPr>
            <w:tcW w:w="3274" w:type="dxa"/>
            <w:noWrap w:val="0"/>
            <w:vAlign w:val="center"/>
          </w:tcPr>
          <w:p>
            <w:pPr>
              <w:pageBreakBefore w:val="0"/>
              <w:widowControl/>
              <w:wordWrap/>
              <w:bidi w:val="0"/>
              <w:spacing w:line="360" w:lineRule="auto"/>
              <w:ind w:firstLine="0" w:firstLineChars="0"/>
              <w:jc w:val="center"/>
              <w:rPr>
                <w:color w:val="000000"/>
                <w:kern w:val="0"/>
                <w:sz w:val="21"/>
                <w:szCs w:val="21"/>
              </w:rPr>
            </w:pPr>
            <w:r>
              <w:rPr>
                <w:color w:val="000000"/>
                <w:kern w:val="0"/>
                <w:sz w:val="21"/>
                <w:szCs w:val="21"/>
              </w:rPr>
              <w:t>34446869.10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421" w:type="dxa"/>
            <w:noWrap w:val="0"/>
            <w:vAlign w:val="center"/>
          </w:tcPr>
          <w:p>
            <w:pPr>
              <w:pageBreakBefore w:val="0"/>
              <w:widowControl/>
              <w:wordWrap/>
              <w:bidi w:val="0"/>
              <w:spacing w:line="360" w:lineRule="auto"/>
              <w:ind w:firstLine="0" w:firstLineChars="0"/>
              <w:jc w:val="center"/>
              <w:rPr>
                <w:color w:val="000000"/>
                <w:kern w:val="0"/>
                <w:sz w:val="21"/>
                <w:szCs w:val="21"/>
              </w:rPr>
            </w:pPr>
            <w:r>
              <w:rPr>
                <w:color w:val="000000"/>
                <w:kern w:val="0"/>
                <w:sz w:val="21"/>
                <w:szCs w:val="21"/>
              </w:rPr>
              <w:t>矿2</w:t>
            </w:r>
          </w:p>
        </w:tc>
        <w:tc>
          <w:tcPr>
            <w:tcW w:w="3026" w:type="dxa"/>
            <w:noWrap w:val="0"/>
            <w:vAlign w:val="center"/>
          </w:tcPr>
          <w:p>
            <w:pPr>
              <w:pageBreakBefore w:val="0"/>
              <w:widowControl/>
              <w:wordWrap/>
              <w:bidi w:val="0"/>
              <w:spacing w:line="360" w:lineRule="auto"/>
              <w:ind w:firstLine="0" w:firstLineChars="0"/>
              <w:jc w:val="center"/>
              <w:rPr>
                <w:color w:val="000000"/>
                <w:kern w:val="0"/>
                <w:sz w:val="21"/>
                <w:szCs w:val="21"/>
              </w:rPr>
            </w:pPr>
            <w:r>
              <w:rPr>
                <w:color w:val="000000"/>
                <w:kern w:val="0"/>
                <w:sz w:val="21"/>
                <w:szCs w:val="21"/>
              </w:rPr>
              <w:t>2804583.24</w:t>
            </w:r>
          </w:p>
        </w:tc>
        <w:tc>
          <w:tcPr>
            <w:tcW w:w="3274" w:type="dxa"/>
            <w:noWrap w:val="0"/>
            <w:vAlign w:val="center"/>
          </w:tcPr>
          <w:p>
            <w:pPr>
              <w:pageBreakBefore w:val="0"/>
              <w:widowControl/>
              <w:wordWrap/>
              <w:bidi w:val="0"/>
              <w:spacing w:line="360" w:lineRule="auto"/>
              <w:ind w:firstLine="0" w:firstLineChars="0"/>
              <w:jc w:val="center"/>
              <w:rPr>
                <w:color w:val="000000"/>
                <w:kern w:val="0"/>
                <w:sz w:val="21"/>
                <w:szCs w:val="21"/>
              </w:rPr>
            </w:pPr>
            <w:r>
              <w:rPr>
                <w:color w:val="000000"/>
                <w:kern w:val="0"/>
                <w:sz w:val="21"/>
                <w:szCs w:val="21"/>
              </w:rPr>
              <w:t>34446869.10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421" w:type="dxa"/>
            <w:noWrap w:val="0"/>
            <w:vAlign w:val="center"/>
          </w:tcPr>
          <w:p>
            <w:pPr>
              <w:pageBreakBefore w:val="0"/>
              <w:widowControl/>
              <w:wordWrap/>
              <w:bidi w:val="0"/>
              <w:spacing w:line="360" w:lineRule="auto"/>
              <w:ind w:firstLine="0" w:firstLineChars="0"/>
              <w:jc w:val="center"/>
              <w:rPr>
                <w:color w:val="000000"/>
                <w:kern w:val="0"/>
                <w:sz w:val="21"/>
                <w:szCs w:val="21"/>
              </w:rPr>
            </w:pPr>
            <w:r>
              <w:rPr>
                <w:color w:val="000000"/>
                <w:kern w:val="0"/>
                <w:sz w:val="21"/>
                <w:szCs w:val="21"/>
              </w:rPr>
              <w:t>矿3</w:t>
            </w:r>
          </w:p>
        </w:tc>
        <w:tc>
          <w:tcPr>
            <w:tcW w:w="3026" w:type="dxa"/>
            <w:noWrap w:val="0"/>
            <w:vAlign w:val="center"/>
          </w:tcPr>
          <w:p>
            <w:pPr>
              <w:pageBreakBefore w:val="0"/>
              <w:widowControl/>
              <w:wordWrap/>
              <w:bidi w:val="0"/>
              <w:spacing w:line="360" w:lineRule="auto"/>
              <w:ind w:firstLine="0" w:firstLineChars="0"/>
              <w:jc w:val="center"/>
              <w:rPr>
                <w:color w:val="000000"/>
                <w:kern w:val="0"/>
                <w:sz w:val="21"/>
                <w:szCs w:val="21"/>
              </w:rPr>
            </w:pPr>
            <w:r>
              <w:rPr>
                <w:color w:val="000000"/>
                <w:kern w:val="0"/>
                <w:sz w:val="21"/>
                <w:szCs w:val="21"/>
              </w:rPr>
              <w:t>2804583.24</w:t>
            </w:r>
          </w:p>
        </w:tc>
        <w:tc>
          <w:tcPr>
            <w:tcW w:w="3274" w:type="dxa"/>
            <w:noWrap w:val="0"/>
            <w:vAlign w:val="center"/>
          </w:tcPr>
          <w:p>
            <w:pPr>
              <w:pageBreakBefore w:val="0"/>
              <w:widowControl/>
              <w:wordWrap/>
              <w:bidi w:val="0"/>
              <w:spacing w:line="360" w:lineRule="auto"/>
              <w:ind w:firstLine="0" w:firstLineChars="0"/>
              <w:jc w:val="center"/>
              <w:rPr>
                <w:color w:val="000000"/>
                <w:kern w:val="0"/>
                <w:sz w:val="21"/>
                <w:szCs w:val="21"/>
              </w:rPr>
            </w:pPr>
            <w:r>
              <w:rPr>
                <w:color w:val="000000"/>
                <w:kern w:val="0"/>
                <w:sz w:val="21"/>
                <w:szCs w:val="21"/>
              </w:rPr>
              <w:t>34447064.74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421" w:type="dxa"/>
            <w:noWrap w:val="0"/>
            <w:vAlign w:val="center"/>
          </w:tcPr>
          <w:p>
            <w:pPr>
              <w:pageBreakBefore w:val="0"/>
              <w:widowControl/>
              <w:wordWrap/>
              <w:bidi w:val="0"/>
              <w:spacing w:line="360" w:lineRule="auto"/>
              <w:ind w:firstLine="0" w:firstLineChars="0"/>
              <w:jc w:val="center"/>
              <w:rPr>
                <w:color w:val="000000"/>
                <w:kern w:val="0"/>
                <w:sz w:val="21"/>
                <w:szCs w:val="21"/>
              </w:rPr>
            </w:pPr>
            <w:r>
              <w:rPr>
                <w:color w:val="000000"/>
                <w:kern w:val="0"/>
                <w:sz w:val="21"/>
                <w:szCs w:val="21"/>
              </w:rPr>
              <w:t>矿4</w:t>
            </w:r>
          </w:p>
        </w:tc>
        <w:tc>
          <w:tcPr>
            <w:tcW w:w="3026" w:type="dxa"/>
            <w:noWrap w:val="0"/>
            <w:vAlign w:val="center"/>
          </w:tcPr>
          <w:p>
            <w:pPr>
              <w:pageBreakBefore w:val="0"/>
              <w:widowControl/>
              <w:wordWrap/>
              <w:bidi w:val="0"/>
              <w:spacing w:line="360" w:lineRule="auto"/>
              <w:ind w:firstLine="0" w:firstLineChars="0"/>
              <w:jc w:val="center"/>
              <w:rPr>
                <w:color w:val="000000"/>
                <w:kern w:val="0"/>
                <w:sz w:val="21"/>
                <w:szCs w:val="21"/>
              </w:rPr>
            </w:pPr>
            <w:r>
              <w:rPr>
                <w:color w:val="000000"/>
                <w:kern w:val="0"/>
                <w:sz w:val="21"/>
                <w:szCs w:val="21"/>
              </w:rPr>
              <w:t>2804352.94</w:t>
            </w:r>
          </w:p>
        </w:tc>
        <w:tc>
          <w:tcPr>
            <w:tcW w:w="3274" w:type="dxa"/>
            <w:noWrap w:val="0"/>
            <w:vAlign w:val="center"/>
          </w:tcPr>
          <w:p>
            <w:pPr>
              <w:pageBreakBefore w:val="0"/>
              <w:widowControl/>
              <w:wordWrap/>
              <w:bidi w:val="0"/>
              <w:spacing w:line="360" w:lineRule="auto"/>
              <w:ind w:firstLine="0" w:firstLineChars="0"/>
              <w:jc w:val="center"/>
              <w:rPr>
                <w:color w:val="000000"/>
                <w:kern w:val="0"/>
                <w:sz w:val="21"/>
                <w:szCs w:val="21"/>
              </w:rPr>
            </w:pPr>
            <w:r>
              <w:rPr>
                <w:color w:val="000000"/>
                <w:kern w:val="0"/>
                <w:sz w:val="21"/>
                <w:szCs w:val="21"/>
              </w:rPr>
              <w:t>34447064.74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421" w:type="dxa"/>
            <w:noWrap w:val="0"/>
            <w:vAlign w:val="center"/>
          </w:tcPr>
          <w:p>
            <w:pPr>
              <w:pageBreakBefore w:val="0"/>
              <w:widowControl/>
              <w:wordWrap/>
              <w:bidi w:val="0"/>
              <w:spacing w:line="360" w:lineRule="auto"/>
              <w:ind w:firstLine="0" w:firstLineChars="0"/>
              <w:jc w:val="center"/>
              <w:rPr>
                <w:color w:val="000000"/>
                <w:kern w:val="0"/>
                <w:sz w:val="21"/>
                <w:szCs w:val="21"/>
              </w:rPr>
            </w:pPr>
            <w:r>
              <w:rPr>
                <w:color w:val="000000"/>
                <w:kern w:val="0"/>
                <w:sz w:val="21"/>
                <w:szCs w:val="21"/>
              </w:rPr>
              <w:t>矿区面积</w:t>
            </w:r>
          </w:p>
        </w:tc>
        <w:tc>
          <w:tcPr>
            <w:tcW w:w="6300" w:type="dxa"/>
            <w:gridSpan w:val="2"/>
            <w:noWrap w:val="0"/>
            <w:vAlign w:val="center"/>
          </w:tcPr>
          <w:p>
            <w:pPr>
              <w:pageBreakBefore w:val="0"/>
              <w:widowControl/>
              <w:wordWrap/>
              <w:bidi w:val="0"/>
              <w:spacing w:line="360" w:lineRule="auto"/>
              <w:ind w:firstLine="0" w:firstLineChars="0"/>
              <w:jc w:val="center"/>
              <w:rPr>
                <w:color w:val="000000"/>
                <w:kern w:val="0"/>
                <w:sz w:val="21"/>
                <w:szCs w:val="21"/>
              </w:rPr>
            </w:pPr>
            <w:r>
              <w:rPr>
                <w:color w:val="000000"/>
                <w:kern w:val="0"/>
                <w:sz w:val="21"/>
                <w:szCs w:val="21"/>
              </w:rPr>
              <w:t>0.0451 km</w:t>
            </w:r>
            <w:r>
              <w:rPr>
                <w:color w:val="000000"/>
                <w:kern w:val="0"/>
                <w:sz w:val="21"/>
                <w:szCs w:val="21"/>
                <w:vertAlign w:val="superscript"/>
              </w:rPr>
              <w:t>2</w:t>
            </w:r>
            <w:r>
              <w:rPr>
                <w:color w:val="000000"/>
                <w:kern w:val="0"/>
                <w:sz w:val="21"/>
                <w:szCs w:val="21"/>
              </w:rPr>
              <w:t>（67.65亩）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421" w:type="dxa"/>
            <w:noWrap w:val="0"/>
            <w:vAlign w:val="center"/>
          </w:tcPr>
          <w:p>
            <w:pPr>
              <w:pageBreakBefore w:val="0"/>
              <w:widowControl/>
              <w:wordWrap/>
              <w:bidi w:val="0"/>
              <w:spacing w:line="360" w:lineRule="auto"/>
              <w:ind w:firstLine="0" w:firstLineChars="0"/>
              <w:jc w:val="center"/>
              <w:rPr>
                <w:color w:val="000000"/>
                <w:kern w:val="0"/>
                <w:sz w:val="21"/>
                <w:szCs w:val="21"/>
              </w:rPr>
            </w:pPr>
            <w:r>
              <w:rPr>
                <w:color w:val="000000"/>
                <w:kern w:val="0"/>
                <w:sz w:val="21"/>
                <w:szCs w:val="21"/>
              </w:rPr>
              <w:t>开采标高</w:t>
            </w:r>
          </w:p>
        </w:tc>
        <w:tc>
          <w:tcPr>
            <w:tcW w:w="6300" w:type="dxa"/>
            <w:gridSpan w:val="2"/>
            <w:noWrap w:val="0"/>
            <w:vAlign w:val="center"/>
          </w:tcPr>
          <w:p>
            <w:pPr>
              <w:pageBreakBefore w:val="0"/>
              <w:widowControl/>
              <w:wordWrap/>
              <w:bidi w:val="0"/>
              <w:spacing w:line="360" w:lineRule="auto"/>
              <w:ind w:firstLine="0" w:firstLineChars="0"/>
              <w:jc w:val="center"/>
              <w:rPr>
                <w:color w:val="000000"/>
                <w:kern w:val="0"/>
                <w:sz w:val="21"/>
                <w:szCs w:val="21"/>
              </w:rPr>
            </w:pPr>
            <w:r>
              <w:rPr>
                <w:color w:val="000000"/>
                <w:kern w:val="0"/>
                <w:sz w:val="21"/>
                <w:szCs w:val="21"/>
              </w:rPr>
              <w:t>1890.00m～1845.00m</w:t>
            </w:r>
          </w:p>
        </w:tc>
      </w:tr>
    </w:tbl>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cs="宋体"/>
          <w:color w:val="auto"/>
          <w:sz w:val="28"/>
          <w:szCs w:val="28"/>
          <w:lang w:val="en-US" w:eastAsia="zh-CN"/>
        </w:rPr>
        <w:t>3.</w:t>
      </w:r>
      <w:r>
        <w:rPr>
          <w:rFonts w:hint="eastAsia" w:ascii="宋体" w:hAnsi="宋体" w:eastAsia="宋体" w:cs="宋体"/>
          <w:color w:val="auto"/>
          <w:sz w:val="28"/>
          <w:szCs w:val="28"/>
        </w:rPr>
        <w:t>安全生产许可证（副本）情况如下：</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bookmarkStart w:id="109" w:name="_Toc102829670"/>
      <w:r>
        <w:rPr>
          <w:rFonts w:hint="eastAsia" w:ascii="宋体" w:hAnsi="宋体" w:eastAsia="宋体" w:cs="宋体"/>
          <w:color w:val="auto"/>
          <w:sz w:val="28"/>
          <w:szCs w:val="28"/>
          <w:lang w:val="en-US" w:eastAsia="zh-CN"/>
        </w:rPr>
        <w:t>编</w:t>
      </w:r>
      <w:r>
        <w:rPr>
          <w:rFonts w:hint="eastAsia" w:ascii="宋体" w:hAnsi="宋体" w:eastAsia="宋体" w:cs="宋体"/>
          <w:color w:val="auto"/>
          <w:sz w:val="28"/>
          <w:szCs w:val="28"/>
          <w:lang w:eastAsia="zh-CN"/>
        </w:rPr>
        <w:t xml:space="preserve">    号：（</w:t>
      </w:r>
      <w:r>
        <w:rPr>
          <w:rFonts w:hint="eastAsia" w:ascii="宋体" w:hAnsi="宋体" w:eastAsia="宋体" w:cs="宋体"/>
          <w:color w:val="auto"/>
          <w:sz w:val="28"/>
          <w:szCs w:val="28"/>
          <w:lang w:val="en-US" w:eastAsia="zh-CN"/>
        </w:rPr>
        <w:t>楚</w:t>
      </w:r>
      <w:r>
        <w:rPr>
          <w:rFonts w:hint="eastAsia" w:ascii="宋体" w:hAnsi="宋体" w:eastAsia="宋体" w:cs="宋体"/>
          <w:color w:val="auto"/>
          <w:sz w:val="28"/>
          <w:szCs w:val="28"/>
          <w:lang w:eastAsia="zh-CN"/>
        </w:rPr>
        <w:t>）FM安许证字【2020】03</w:t>
      </w:r>
      <w:r>
        <w:rPr>
          <w:rFonts w:hint="eastAsia" w:ascii="宋体" w:hAnsi="宋体" w:eastAsia="宋体" w:cs="宋体"/>
          <w:color w:val="auto"/>
          <w:sz w:val="28"/>
          <w:szCs w:val="28"/>
          <w:lang w:val="en-US" w:eastAsia="zh-CN"/>
        </w:rPr>
        <w:t>8</w:t>
      </w:r>
      <w:r>
        <w:rPr>
          <w:rFonts w:hint="eastAsia" w:ascii="宋体" w:hAnsi="宋体" w:eastAsia="宋体" w:cs="宋体"/>
          <w:color w:val="auto"/>
          <w:sz w:val="28"/>
          <w:szCs w:val="28"/>
          <w:lang w:eastAsia="zh-CN"/>
        </w:rPr>
        <w:t>号</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单位名称：牟定共和西山寺砂场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主要负责人：</w:t>
      </w:r>
      <w:r>
        <w:rPr>
          <w:rFonts w:hint="eastAsia" w:ascii="宋体" w:hAnsi="宋体" w:eastAsia="宋体" w:cs="宋体"/>
          <w:color w:val="auto"/>
          <w:sz w:val="28"/>
          <w:szCs w:val="28"/>
          <w:lang w:val="en-US" w:eastAsia="zh-CN"/>
        </w:rPr>
        <w:t>代俊</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单位地址：</w:t>
      </w:r>
      <w:r>
        <w:rPr>
          <w:rFonts w:hint="eastAsia" w:ascii="宋体" w:hAnsi="宋体" w:eastAsia="宋体" w:cs="宋体"/>
          <w:color w:val="auto"/>
          <w:sz w:val="28"/>
          <w:szCs w:val="28"/>
          <w:lang w:val="en-US" w:eastAsia="zh-CN"/>
        </w:rPr>
        <w:t>牟定县共和镇西山寺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经济类型：</w:t>
      </w:r>
      <w:r>
        <w:rPr>
          <w:rFonts w:hint="eastAsia" w:ascii="宋体" w:hAnsi="宋体" w:eastAsia="宋体" w:cs="宋体"/>
          <w:color w:val="auto"/>
          <w:sz w:val="28"/>
          <w:szCs w:val="28"/>
          <w:lang w:val="en-US" w:eastAsia="zh-CN"/>
        </w:rPr>
        <w:t>个体工商户</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许可范围：</w:t>
      </w:r>
      <w:r>
        <w:rPr>
          <w:rFonts w:hint="eastAsia" w:ascii="宋体" w:hAnsi="宋体" w:eastAsia="宋体" w:cs="宋体"/>
          <w:color w:val="auto"/>
          <w:sz w:val="28"/>
          <w:szCs w:val="28"/>
          <w:lang w:val="en-US" w:eastAsia="zh-CN"/>
        </w:rPr>
        <w:t>非煤矿产资源</w:t>
      </w:r>
      <w:r>
        <w:rPr>
          <w:rFonts w:hint="eastAsia" w:ascii="宋体" w:hAnsi="宋体" w:eastAsia="宋体" w:cs="宋体"/>
          <w:color w:val="auto"/>
          <w:sz w:val="28"/>
          <w:szCs w:val="28"/>
          <w:lang w:eastAsia="zh-CN"/>
        </w:rPr>
        <w:t>开采</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有 效 期：自2020年</w:t>
      </w:r>
      <w:r>
        <w:rPr>
          <w:rFonts w:hint="eastAsia" w:ascii="宋体" w:hAnsi="宋体" w:eastAsia="宋体" w:cs="宋体"/>
          <w:color w:val="auto"/>
          <w:sz w:val="28"/>
          <w:szCs w:val="28"/>
          <w:lang w:val="en-US" w:eastAsia="zh-CN"/>
        </w:rPr>
        <w:t>11</w:t>
      </w:r>
      <w:r>
        <w:rPr>
          <w:rFonts w:hint="eastAsia" w:ascii="宋体" w:hAnsi="宋体" w:eastAsia="宋体" w:cs="宋体"/>
          <w:color w:val="auto"/>
          <w:sz w:val="28"/>
          <w:szCs w:val="28"/>
          <w:lang w:eastAsia="zh-CN"/>
        </w:rPr>
        <w:t>月</w:t>
      </w:r>
      <w:r>
        <w:rPr>
          <w:rFonts w:hint="eastAsia" w:ascii="宋体" w:hAnsi="宋体" w:eastAsia="宋体" w:cs="宋体"/>
          <w:color w:val="auto"/>
          <w:sz w:val="28"/>
          <w:szCs w:val="28"/>
          <w:lang w:val="en-US" w:eastAsia="zh-CN"/>
        </w:rPr>
        <w:t>11</w:t>
      </w:r>
      <w:r>
        <w:rPr>
          <w:rFonts w:hint="eastAsia" w:ascii="宋体" w:hAnsi="宋体" w:eastAsia="宋体" w:cs="宋体"/>
          <w:color w:val="auto"/>
          <w:sz w:val="28"/>
          <w:szCs w:val="28"/>
          <w:lang w:eastAsia="zh-CN"/>
        </w:rPr>
        <w:t>日至2023年</w:t>
      </w:r>
      <w:r>
        <w:rPr>
          <w:rFonts w:hint="eastAsia" w:ascii="宋体" w:hAnsi="宋体" w:eastAsia="宋体" w:cs="宋体"/>
          <w:color w:val="auto"/>
          <w:sz w:val="28"/>
          <w:szCs w:val="28"/>
          <w:lang w:val="en-US" w:eastAsia="zh-CN"/>
        </w:rPr>
        <w:t>11</w:t>
      </w:r>
      <w:r>
        <w:rPr>
          <w:rFonts w:hint="eastAsia" w:ascii="宋体" w:hAnsi="宋体" w:eastAsia="宋体" w:cs="宋体"/>
          <w:color w:val="auto"/>
          <w:sz w:val="28"/>
          <w:szCs w:val="28"/>
          <w:lang w:eastAsia="zh-CN"/>
        </w:rPr>
        <w:t>月</w:t>
      </w:r>
      <w:r>
        <w:rPr>
          <w:rFonts w:hint="eastAsia" w:ascii="宋体" w:hAnsi="宋体" w:eastAsia="宋体" w:cs="宋体"/>
          <w:color w:val="auto"/>
          <w:sz w:val="28"/>
          <w:szCs w:val="28"/>
          <w:lang w:val="en-US" w:eastAsia="zh-CN"/>
        </w:rPr>
        <w:t>10</w:t>
      </w:r>
      <w:r>
        <w:rPr>
          <w:rFonts w:hint="eastAsia" w:ascii="宋体" w:hAnsi="宋体" w:eastAsia="宋体" w:cs="宋体"/>
          <w:color w:val="auto"/>
          <w:sz w:val="28"/>
          <w:szCs w:val="28"/>
          <w:lang w:eastAsia="zh-CN"/>
        </w:rPr>
        <w:t>日</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发证机关：</w:t>
      </w:r>
      <w:r>
        <w:rPr>
          <w:rFonts w:hint="eastAsia" w:ascii="宋体" w:hAnsi="宋体" w:eastAsia="宋体" w:cs="宋体"/>
          <w:color w:val="auto"/>
          <w:sz w:val="28"/>
          <w:szCs w:val="28"/>
          <w:lang w:val="en-US" w:eastAsia="zh-CN"/>
        </w:rPr>
        <w:t>楚雄彝族自治州</w:t>
      </w:r>
      <w:r>
        <w:rPr>
          <w:rFonts w:hint="eastAsia" w:ascii="宋体" w:hAnsi="宋体" w:eastAsia="宋体" w:cs="宋体"/>
          <w:color w:val="auto"/>
          <w:sz w:val="28"/>
          <w:szCs w:val="28"/>
          <w:lang w:eastAsia="zh-CN"/>
        </w:rPr>
        <w:t>应急管理局</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发证日期：202</w:t>
      </w: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lang w:eastAsia="zh-CN"/>
        </w:rPr>
        <w:t>年</w:t>
      </w:r>
      <w:r>
        <w:rPr>
          <w:rFonts w:hint="eastAsia" w:ascii="宋体" w:hAnsi="宋体" w:eastAsia="宋体" w:cs="宋体"/>
          <w:color w:val="auto"/>
          <w:sz w:val="28"/>
          <w:szCs w:val="28"/>
          <w:lang w:val="en-US" w:eastAsia="zh-CN"/>
        </w:rPr>
        <w:t>11</w:t>
      </w:r>
      <w:r>
        <w:rPr>
          <w:rFonts w:hint="eastAsia" w:ascii="宋体" w:hAnsi="宋体" w:eastAsia="宋体" w:cs="宋体"/>
          <w:color w:val="auto"/>
          <w:sz w:val="28"/>
          <w:szCs w:val="28"/>
          <w:lang w:eastAsia="zh-CN"/>
        </w:rPr>
        <w:t>月</w:t>
      </w:r>
      <w:r>
        <w:rPr>
          <w:rFonts w:hint="eastAsia" w:ascii="宋体" w:hAnsi="宋体" w:eastAsia="宋体" w:cs="宋体"/>
          <w:color w:val="auto"/>
          <w:sz w:val="28"/>
          <w:szCs w:val="28"/>
          <w:lang w:val="en-US" w:eastAsia="zh-CN"/>
        </w:rPr>
        <w:t>11</w:t>
      </w:r>
      <w:r>
        <w:rPr>
          <w:rFonts w:hint="eastAsia" w:ascii="宋体" w:hAnsi="宋体" w:eastAsia="宋体" w:cs="宋体"/>
          <w:color w:val="auto"/>
          <w:sz w:val="28"/>
          <w:szCs w:val="28"/>
          <w:lang w:eastAsia="zh-CN"/>
        </w:rPr>
        <w:t>日</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4.</w:t>
      </w:r>
      <w:r>
        <w:rPr>
          <w:rFonts w:hint="default" w:ascii="宋体" w:hAnsi="宋体" w:eastAsia="宋体" w:cs="宋体"/>
          <w:color w:val="auto"/>
          <w:sz w:val="28"/>
          <w:szCs w:val="28"/>
        </w:rPr>
        <w:t>安全生产</w:t>
      </w:r>
      <w:r>
        <w:rPr>
          <w:rFonts w:hint="default" w:ascii="宋体" w:hAnsi="宋体" w:eastAsia="宋体" w:cs="宋体"/>
          <w:color w:val="auto"/>
          <w:sz w:val="28"/>
          <w:szCs w:val="28"/>
          <w:lang w:val="en-US" w:eastAsia="zh-CN"/>
        </w:rPr>
        <w:t>标准化证书（金属非金属矿山小型露天采石场</w:t>
      </w:r>
      <w:r>
        <w:rPr>
          <w:rFonts w:hint="eastAsia" w:ascii="宋体" w:hAnsi="宋体" w:eastAsia="宋体" w:cs="宋体"/>
          <w:color w:val="auto"/>
          <w:sz w:val="28"/>
          <w:szCs w:val="28"/>
          <w:lang w:val="en-US" w:eastAsia="zh-CN"/>
        </w:rPr>
        <w:t>.三级</w:t>
      </w:r>
      <w:r>
        <w:rPr>
          <w:rFonts w:hint="default" w:ascii="宋体" w:hAnsi="宋体" w:eastAsia="宋体" w:cs="宋体"/>
          <w:color w:val="auto"/>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矿山名称：</w:t>
      </w:r>
      <w:r>
        <w:rPr>
          <w:rFonts w:hint="eastAsia" w:ascii="宋体" w:hAnsi="宋体" w:eastAsia="宋体" w:cs="宋体"/>
          <w:color w:val="auto"/>
          <w:sz w:val="28"/>
          <w:szCs w:val="28"/>
          <w:lang w:eastAsia="zh-CN"/>
        </w:rPr>
        <w:t>牟定共和西山寺砂场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color w:val="auto"/>
          <w:sz w:val="28"/>
          <w:szCs w:val="28"/>
          <w:lang w:val="en-US" w:eastAsia="zh-CN"/>
        </w:rPr>
      </w:pPr>
      <w:r>
        <w:rPr>
          <w:rFonts w:hint="default" w:ascii="宋体" w:hAnsi="宋体" w:eastAsia="宋体" w:cs="宋体"/>
          <w:color w:val="auto"/>
          <w:sz w:val="28"/>
          <w:szCs w:val="28"/>
          <w:lang w:val="en-US" w:eastAsia="zh-CN"/>
        </w:rPr>
        <w:t>证书</w:t>
      </w:r>
      <w:r>
        <w:rPr>
          <w:rFonts w:hint="default" w:ascii="宋体" w:hAnsi="宋体" w:eastAsia="宋体" w:cs="宋体"/>
          <w:color w:val="auto"/>
          <w:sz w:val="28"/>
          <w:szCs w:val="28"/>
        </w:rPr>
        <w:t>编号：</w:t>
      </w:r>
      <w:r>
        <w:rPr>
          <w:rFonts w:hint="eastAsia" w:ascii="宋体" w:hAnsi="宋体" w:eastAsia="宋体" w:cs="宋体"/>
          <w:color w:val="auto"/>
          <w:sz w:val="28"/>
          <w:szCs w:val="28"/>
          <w:lang w:val="en-US" w:eastAsia="zh-CN"/>
        </w:rPr>
        <w:t>滇</w:t>
      </w:r>
      <w:r>
        <w:rPr>
          <w:rFonts w:hint="default" w:ascii="宋体" w:hAnsi="宋体" w:eastAsia="宋体" w:cs="宋体"/>
          <w:color w:val="auto"/>
          <w:sz w:val="28"/>
          <w:szCs w:val="28"/>
          <w:lang w:val="en-US" w:eastAsia="zh-CN"/>
        </w:rPr>
        <w:t>AQB</w:t>
      </w:r>
      <w:r>
        <w:rPr>
          <w:rFonts w:hint="eastAsia" w:ascii="宋体" w:hAnsi="宋体" w:eastAsia="宋体" w:cs="宋体"/>
          <w:color w:val="auto"/>
          <w:sz w:val="28"/>
          <w:szCs w:val="28"/>
          <w:lang w:val="en-US" w:eastAsia="zh-CN"/>
        </w:rPr>
        <w:t>KS</w:t>
      </w:r>
      <w:r>
        <w:rPr>
          <w:rFonts w:hint="default" w:ascii="宋体" w:hAnsi="宋体" w:eastAsia="宋体" w:cs="宋体"/>
          <w:color w:val="auto"/>
          <w:sz w:val="28"/>
          <w:szCs w:val="28"/>
          <w:lang w:val="en-US" w:eastAsia="zh-CN"/>
        </w:rPr>
        <w:t>Ⅲ202</w:t>
      </w:r>
      <w:r>
        <w:rPr>
          <w:rFonts w:hint="eastAsia" w:ascii="宋体" w:hAnsi="宋体" w:eastAsia="宋体" w:cs="宋体"/>
          <w:color w:val="auto"/>
          <w:sz w:val="28"/>
          <w:szCs w:val="28"/>
          <w:lang w:val="en-US" w:eastAsia="zh-CN"/>
        </w:rPr>
        <w:t>2</w:t>
      </w:r>
      <w:r>
        <w:rPr>
          <w:rFonts w:hint="default" w:ascii="宋体" w:hAnsi="宋体" w:eastAsia="宋体" w:cs="宋体"/>
          <w:color w:val="auto"/>
          <w:sz w:val="28"/>
          <w:szCs w:val="28"/>
          <w:lang w:val="en-US" w:eastAsia="zh-CN"/>
        </w:rPr>
        <w:t>000</w:t>
      </w:r>
      <w:r>
        <w:rPr>
          <w:rFonts w:hint="eastAsia" w:ascii="宋体" w:hAnsi="宋体" w:eastAsia="宋体" w:cs="宋体"/>
          <w:color w:val="auto"/>
          <w:sz w:val="28"/>
          <w:szCs w:val="28"/>
          <w:lang w:val="en-US" w:eastAsia="zh-CN"/>
        </w:rPr>
        <w:t>10</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color w:val="auto"/>
          <w:sz w:val="28"/>
          <w:szCs w:val="28"/>
          <w:lang w:val="en-US" w:eastAsia="zh-CN"/>
        </w:rPr>
      </w:pPr>
      <w:r>
        <w:rPr>
          <w:rFonts w:hint="default" w:ascii="宋体" w:hAnsi="宋体" w:eastAsia="宋体" w:cs="宋体"/>
          <w:color w:val="auto"/>
          <w:sz w:val="28"/>
          <w:szCs w:val="28"/>
          <w:lang w:val="en-US" w:eastAsia="zh-CN"/>
        </w:rPr>
        <w:t>有效期至：202</w:t>
      </w:r>
      <w:r>
        <w:rPr>
          <w:rFonts w:hint="eastAsia" w:ascii="宋体" w:hAnsi="宋体" w:eastAsia="宋体" w:cs="宋体"/>
          <w:color w:val="auto"/>
          <w:sz w:val="28"/>
          <w:szCs w:val="28"/>
          <w:lang w:val="en-US" w:eastAsia="zh-CN"/>
        </w:rPr>
        <w:t>5</w:t>
      </w:r>
      <w:r>
        <w:rPr>
          <w:rFonts w:hint="default" w:ascii="宋体" w:hAnsi="宋体" w:eastAsia="宋体" w:cs="宋体"/>
          <w:color w:val="auto"/>
          <w:sz w:val="28"/>
          <w:szCs w:val="28"/>
          <w:lang w:val="en-US" w:eastAsia="zh-CN"/>
        </w:rPr>
        <w:t>年</w:t>
      </w:r>
      <w:r>
        <w:rPr>
          <w:rFonts w:hint="eastAsia" w:ascii="宋体" w:hAnsi="宋体" w:eastAsia="宋体" w:cs="宋体"/>
          <w:color w:val="auto"/>
          <w:sz w:val="28"/>
          <w:szCs w:val="28"/>
          <w:lang w:val="en-US" w:eastAsia="zh-CN"/>
        </w:rPr>
        <w:t>03</w:t>
      </w:r>
      <w:r>
        <w:rPr>
          <w:rFonts w:hint="default" w:ascii="宋体" w:hAnsi="宋体" w:eastAsia="宋体" w:cs="宋体"/>
          <w:color w:val="auto"/>
          <w:sz w:val="28"/>
          <w:szCs w:val="28"/>
          <w:lang w:val="en-US" w:eastAsia="zh-CN"/>
        </w:rPr>
        <w:t>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color w:val="auto"/>
          <w:sz w:val="28"/>
          <w:szCs w:val="28"/>
        </w:rPr>
      </w:pPr>
      <w:r>
        <w:rPr>
          <w:rFonts w:hint="default" w:ascii="宋体" w:hAnsi="宋体" w:eastAsia="宋体" w:cs="宋体"/>
          <w:color w:val="auto"/>
          <w:sz w:val="28"/>
          <w:szCs w:val="28"/>
        </w:rPr>
        <w:t>发证机关：楚雄彝族自治州应急管理局</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r>
        <w:rPr>
          <w:rFonts w:hint="default" w:ascii="宋体" w:hAnsi="宋体" w:eastAsia="宋体" w:cs="宋体"/>
          <w:color w:val="auto"/>
          <w:sz w:val="28"/>
          <w:szCs w:val="28"/>
        </w:rPr>
        <w:t>发证日期：202</w:t>
      </w:r>
      <w:r>
        <w:rPr>
          <w:rFonts w:hint="eastAsia" w:ascii="宋体" w:hAnsi="宋体" w:eastAsia="宋体" w:cs="宋体"/>
          <w:color w:val="auto"/>
          <w:sz w:val="28"/>
          <w:szCs w:val="28"/>
          <w:lang w:val="en-US" w:eastAsia="zh-CN"/>
        </w:rPr>
        <w:t>2</w:t>
      </w:r>
      <w:r>
        <w:rPr>
          <w:rFonts w:hint="default" w:ascii="宋体" w:hAnsi="宋体" w:eastAsia="宋体" w:cs="宋体"/>
          <w:color w:val="auto"/>
          <w:sz w:val="28"/>
          <w:szCs w:val="28"/>
        </w:rPr>
        <w:t>年</w:t>
      </w:r>
      <w:r>
        <w:rPr>
          <w:rFonts w:hint="eastAsia" w:ascii="宋体" w:hAnsi="宋体" w:eastAsia="宋体" w:cs="宋体"/>
          <w:color w:val="auto"/>
          <w:sz w:val="28"/>
          <w:szCs w:val="28"/>
          <w:lang w:val="en-US" w:eastAsia="zh-CN"/>
        </w:rPr>
        <w:t>03</w:t>
      </w:r>
      <w:r>
        <w:rPr>
          <w:rFonts w:hint="default" w:ascii="宋体" w:hAnsi="宋体" w:eastAsia="宋体" w:cs="宋体"/>
          <w:color w:val="auto"/>
          <w:sz w:val="28"/>
          <w:szCs w:val="28"/>
        </w:rPr>
        <w:t>月</w:t>
      </w:r>
      <w:r>
        <w:rPr>
          <w:rFonts w:hint="eastAsia" w:ascii="宋体" w:hAnsi="宋体" w:eastAsia="宋体" w:cs="宋体"/>
          <w:color w:val="auto"/>
          <w:sz w:val="28"/>
          <w:szCs w:val="28"/>
          <w:lang w:val="en-US" w:eastAsia="zh-CN"/>
        </w:rPr>
        <w:t>07</w:t>
      </w:r>
      <w:r>
        <w:rPr>
          <w:rFonts w:hint="default" w:ascii="宋体" w:hAnsi="宋体" w:eastAsia="宋体" w:cs="宋体"/>
          <w:color w:val="auto"/>
          <w:sz w:val="28"/>
          <w:szCs w:val="28"/>
        </w:rPr>
        <w:t>日</w:t>
      </w:r>
    </w:p>
    <w:p>
      <w:pPr>
        <w:pStyle w:val="5"/>
        <w:bidi w:val="0"/>
        <w:rPr>
          <w:rFonts w:hint="eastAsia"/>
          <w:lang w:eastAsia="zh-CN"/>
        </w:rPr>
      </w:pPr>
      <w:bookmarkStart w:id="110" w:name="_Toc28409"/>
      <w:r>
        <w:rPr>
          <w:rFonts w:hint="eastAsia"/>
          <w:lang w:eastAsia="zh-CN"/>
        </w:rPr>
        <w:t>2.1.2地理位置</w:t>
      </w:r>
      <w:bookmarkEnd w:id="108"/>
      <w:r>
        <w:rPr>
          <w:rFonts w:hint="eastAsia"/>
          <w:lang w:eastAsia="zh-CN"/>
        </w:rPr>
        <w:t>及交通</w:t>
      </w:r>
      <w:bookmarkEnd w:id="109"/>
      <w:bookmarkEnd w:id="110"/>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云南省牟定县共和镇西山寺砂场位于牟定县北约335°方向，直线距离约5km处，行政区划属牟定县共和镇小仓村委会管辖。地理坐标：东经101°28′19″～101°28′27″，北纬25°20′41″～25°20′48″。</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矿区南侧有乡村公路与矿区相连，交通及运输方便</w:t>
      </w:r>
      <w:r>
        <w:rPr>
          <w:rFonts w:hint="eastAsia" w:ascii="宋体" w:hAnsi="宋体" w:eastAsia="宋体" w:cs="宋体"/>
          <w:color w:val="auto"/>
          <w:sz w:val="28"/>
          <w:szCs w:val="28"/>
          <w:lang w:val="zh-CN" w:eastAsia="zh-CN"/>
        </w:rPr>
        <w:t>。</w:t>
      </w:r>
      <w:r>
        <w:rPr>
          <w:rFonts w:hint="eastAsia" w:ascii="宋体" w:hAnsi="宋体" w:eastAsia="宋体" w:cs="宋体"/>
          <w:color w:val="auto"/>
          <w:sz w:val="28"/>
          <w:szCs w:val="28"/>
          <w:lang w:eastAsia="zh-CN"/>
        </w:rPr>
        <w:t>交通位置图如图2-1所示。</w:t>
      </w:r>
    </w:p>
    <w:p>
      <w:pPr>
        <w:pStyle w:val="5"/>
        <w:bidi w:val="0"/>
        <w:rPr>
          <w:rFonts w:hint="eastAsia"/>
          <w:lang w:eastAsia="zh-CN"/>
        </w:rPr>
      </w:pPr>
      <w:bookmarkStart w:id="111" w:name="_Toc12753"/>
      <w:r>
        <w:rPr>
          <w:rFonts w:hint="eastAsia"/>
          <w:lang w:eastAsia="zh-CN"/>
        </w:rPr>
        <w:t>2.1.3矿区周边环境</w:t>
      </w:r>
      <w:bookmarkEnd w:id="111"/>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宋体"/>
          <w:color w:val="auto"/>
          <w:sz w:val="28"/>
          <w:lang w:eastAsia="zh-CN"/>
        </w:rPr>
      </w:pPr>
      <w:r>
        <w:rPr>
          <w:rFonts w:hint="eastAsia" w:ascii="宋体" w:hAnsi="宋体" w:eastAsia="宋体" w:cs="宋体"/>
          <w:color w:val="auto"/>
          <w:sz w:val="28"/>
          <w:lang w:val="en-US" w:eastAsia="zh-CN"/>
        </w:rPr>
        <w:t>矿区西面、北面均为荒山林地，不属于珍奇动植物保护区。矿区南面约166m为丰裕闸水库（灌溉用水）和一家牟定县先宝养殖场，矿区东面约251m为昆楚大高速公路，东面约348m为宋官营村</w:t>
      </w:r>
      <w:r>
        <w:rPr>
          <w:rFonts w:hint="eastAsia" w:ascii="宋体" w:hAnsi="宋体" w:eastAsia="宋体" w:cs="宋体"/>
          <w:color w:val="auto"/>
          <w:sz w:val="28"/>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宋体" w:hAnsi="宋体" w:eastAsia="宋体" w:cs="宋体"/>
          <w:color w:val="auto"/>
          <w:sz w:val="28"/>
          <w:lang w:eastAsia="zh-CN"/>
        </w:rPr>
      </w:pPr>
      <w:r>
        <w:rPr>
          <w:rFonts w:hint="eastAsia" w:ascii="宋体" w:hAnsi="宋体" w:eastAsia="宋体" w:cs="宋体"/>
          <w:color w:val="auto"/>
          <w:sz w:val="28"/>
          <w:lang w:val="en-US" w:eastAsia="zh-CN"/>
        </w:rPr>
        <w:t>矿区周边500m范围内无通讯设施、无重要工业设施，也无相邻采矿场；</w:t>
      </w:r>
      <w:r>
        <w:rPr>
          <w:rFonts w:hint="eastAsia" w:ascii="宋体" w:hAnsi="宋体" w:eastAsia="宋体" w:cs="宋体"/>
          <w:color w:val="auto"/>
          <w:sz w:val="28"/>
          <w:lang w:eastAsia="zh-CN"/>
        </w:rPr>
        <w:t>矿区周边</w:t>
      </w:r>
      <w:r>
        <w:rPr>
          <w:rFonts w:hint="eastAsia" w:ascii="宋体" w:hAnsi="宋体" w:eastAsia="宋体" w:cs="宋体"/>
          <w:color w:val="auto"/>
          <w:sz w:val="28"/>
          <w:lang w:val="en-US" w:eastAsia="zh-CN"/>
        </w:rPr>
        <w:t>300m无村庄</w:t>
      </w:r>
      <w:r>
        <w:rPr>
          <w:rFonts w:hint="eastAsia" w:ascii="宋体" w:hAnsi="宋体" w:eastAsia="宋体" w:cs="宋体"/>
          <w:color w:val="auto"/>
          <w:sz w:val="28"/>
          <w:lang w:eastAsia="zh-CN"/>
        </w:rPr>
        <w:t>；</w:t>
      </w:r>
      <w:r>
        <w:rPr>
          <w:rFonts w:hint="eastAsia" w:ascii="宋体" w:hAnsi="宋体" w:eastAsia="宋体" w:cs="宋体"/>
          <w:color w:val="auto"/>
          <w:sz w:val="28"/>
          <w:lang w:val="en-US" w:eastAsia="zh-CN"/>
        </w:rPr>
        <w:t>1000m无铁路线及500m范围内无高压线</w:t>
      </w:r>
      <w:r>
        <w:rPr>
          <w:rFonts w:hint="eastAsia" w:ascii="宋体" w:hAnsi="宋体" w:eastAsia="宋体" w:cs="宋体"/>
          <w:color w:val="auto"/>
          <w:sz w:val="28"/>
          <w:lang w:eastAsia="zh-CN"/>
        </w:rPr>
        <w:t>；</w:t>
      </w:r>
      <w:r>
        <w:rPr>
          <w:rFonts w:hint="eastAsia" w:ascii="宋体" w:hAnsi="宋体" w:eastAsia="宋体" w:cs="宋体"/>
          <w:color w:val="auto"/>
          <w:sz w:val="28"/>
          <w:lang w:val="en-US" w:eastAsia="zh-CN"/>
        </w:rPr>
        <w:t>矿区内无自然保护区及旅游景区（点）、无较重要水源地；无矿权争议，矿区周边环境较为简单</w:t>
      </w:r>
      <w:r>
        <w:rPr>
          <w:rFonts w:hint="eastAsia" w:ascii="宋体" w:hAnsi="宋体" w:cs="宋体"/>
          <w:color w:val="auto"/>
          <w:sz w:val="28"/>
          <w:lang w:eastAsia="zh-CN"/>
        </w:rPr>
        <w:t>，</w:t>
      </w:r>
      <w:r>
        <w:rPr>
          <w:rFonts w:hint="eastAsia" w:ascii="宋体" w:hAnsi="宋体" w:eastAsia="宋体" w:cs="宋体"/>
          <w:color w:val="auto"/>
          <w:sz w:val="28"/>
          <w:lang w:eastAsia="zh-CN"/>
        </w:rPr>
        <w:t>周边环境如下图。</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p>
    <w:p>
      <w:pPr>
        <w:pStyle w:val="15"/>
        <w:wordWrap/>
        <w:topLinePunct w:val="0"/>
        <w:bidi w:val="0"/>
        <w:adjustRightInd w:val="0"/>
        <w:snapToGrid w:val="0"/>
        <w:spacing w:before="158" w:beforeLines="50" w:after="0" w:line="360" w:lineRule="auto"/>
        <w:ind w:left="0" w:leftChars="0"/>
        <w:jc w:val="center"/>
        <w:textAlignment w:val="auto"/>
        <w:rPr>
          <w:rFonts w:hint="eastAsia" w:ascii="宋体" w:hAnsi="宋体" w:eastAsia="宋体"/>
          <w:b/>
          <w:bCs/>
          <w:color w:val="auto"/>
          <w:sz w:val="24"/>
          <w:lang w:eastAsia="zh-CN"/>
        </w:rPr>
      </w:pPr>
      <w:r>
        <w:rPr>
          <w:rFonts w:hint="eastAsia" w:ascii="宋体" w:hAnsi="宋体" w:eastAsia="宋体"/>
          <w:b/>
          <w:bCs/>
          <w:color w:val="auto"/>
          <w:sz w:val="24"/>
          <w:lang w:eastAsia="zh-CN"/>
        </w:rPr>
        <w:drawing>
          <wp:inline distT="0" distB="0" distL="114300" distR="114300">
            <wp:extent cx="5749290" cy="7273925"/>
            <wp:effectExtent l="0" t="0" r="3810" b="3175"/>
            <wp:docPr id="66" name="图片 66" descr="（终稿）牟定共和西山寺砂场2.42万m³a露天开采项目安全现状评价报告(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终稿）牟定共和西山寺砂场2.42万m³a露天开采项目安全现状评价报告(1)_00"/>
                    <pic:cNvPicPr>
                      <a:picLocks noChangeAspect="1"/>
                    </pic:cNvPicPr>
                  </pic:nvPicPr>
                  <pic:blipFill>
                    <a:blip r:embed="rId9"/>
                    <a:stretch>
                      <a:fillRect/>
                    </a:stretch>
                  </pic:blipFill>
                  <pic:spPr>
                    <a:xfrm>
                      <a:off x="0" y="0"/>
                      <a:ext cx="5749290" cy="7273925"/>
                    </a:xfrm>
                    <a:prstGeom prst="rect">
                      <a:avLst/>
                    </a:prstGeom>
                  </pic:spPr>
                </pic:pic>
              </a:graphicData>
            </a:graphic>
          </wp:inline>
        </w:drawing>
      </w:r>
    </w:p>
    <w:p>
      <w:pPr>
        <w:pStyle w:val="15"/>
        <w:wordWrap/>
        <w:topLinePunct w:val="0"/>
        <w:bidi w:val="0"/>
        <w:adjustRightInd w:val="0"/>
        <w:snapToGrid w:val="0"/>
        <w:spacing w:before="158" w:beforeLines="50" w:after="0" w:line="240" w:lineRule="auto"/>
        <w:ind w:left="0" w:leftChars="0"/>
        <w:jc w:val="center"/>
        <w:textAlignment w:val="auto"/>
        <w:rPr>
          <w:rFonts w:hint="eastAsia" w:ascii="宋体" w:hAnsi="宋体"/>
          <w:b/>
          <w:bCs/>
          <w:color w:val="auto"/>
          <w:sz w:val="24"/>
        </w:rPr>
      </w:pPr>
      <w:r>
        <w:rPr>
          <w:rFonts w:hint="eastAsia" w:ascii="宋体" w:hAnsi="宋体"/>
          <w:b/>
          <w:bCs/>
          <w:color w:val="auto"/>
          <w:sz w:val="24"/>
        </w:rPr>
        <w:t>图2-1交通位置图</w:t>
      </w:r>
    </w:p>
    <w:p>
      <w:pPr>
        <w:keepNext w:val="0"/>
        <w:keepLines w:val="0"/>
        <w:pageBreakBefore w:val="0"/>
        <w:widowControl w:val="0"/>
        <w:kinsoku/>
        <w:wordWrap/>
        <w:overflowPunct/>
        <w:topLinePunct w:val="0"/>
        <w:autoSpaceDE/>
        <w:autoSpaceDN/>
        <w:bidi w:val="0"/>
        <w:adjustRightInd w:val="0"/>
        <w:snapToGrid w:val="0"/>
        <w:spacing w:before="156" w:beforeLines="50" w:line="240" w:lineRule="auto"/>
        <w:jc w:val="center"/>
        <w:textAlignment w:val="auto"/>
        <w:rPr>
          <w:rFonts w:hint="eastAsia" w:ascii="宋体" w:hAnsi="宋体" w:eastAsia="宋体" w:cs="宋体"/>
          <w:color w:val="auto"/>
          <w:sz w:val="28"/>
          <w:szCs w:val="28"/>
        </w:rPr>
      </w:pPr>
      <w:r>
        <w:rPr>
          <w:rFonts w:hint="eastAsia" w:ascii="Times New Roman" w:hAnsi="Times New Roman" w:eastAsia="宋体" w:cs="Times New Roman"/>
          <w:sz w:val="28"/>
          <w:szCs w:val="24"/>
          <w:lang w:val="en-US" w:eastAsia="zh-CN"/>
        </w:rPr>
        <w:drawing>
          <wp:inline distT="0" distB="0" distL="114300" distR="114300">
            <wp:extent cx="5764530" cy="4368800"/>
            <wp:effectExtent l="0" t="0" r="1270" b="0"/>
            <wp:docPr id="67" name="图片 3" descr="1712757094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3" descr="1712757094785"/>
                    <pic:cNvPicPr>
                      <a:picLocks noChangeAspect="1"/>
                    </pic:cNvPicPr>
                  </pic:nvPicPr>
                  <pic:blipFill>
                    <a:blip r:embed="rId10"/>
                    <a:stretch>
                      <a:fillRect/>
                    </a:stretch>
                  </pic:blipFill>
                  <pic:spPr>
                    <a:xfrm>
                      <a:off x="0" y="0"/>
                      <a:ext cx="5764530" cy="4368800"/>
                    </a:xfrm>
                    <a:prstGeom prst="rect">
                      <a:avLst/>
                    </a:prstGeom>
                    <a:noFill/>
                    <a:ln>
                      <a:noFill/>
                    </a:ln>
                  </pic:spPr>
                </pic:pic>
              </a:graphicData>
            </a:graphic>
          </wp:inline>
        </w:drawing>
      </w:r>
    </w:p>
    <w:p>
      <w:pPr>
        <w:wordWrap/>
        <w:topLinePunct w:val="0"/>
        <w:bidi w:val="0"/>
        <w:spacing w:line="240" w:lineRule="auto"/>
        <w:ind w:firstLine="480" w:firstLineChars="200"/>
        <w:jc w:val="center"/>
        <w:textAlignment w:val="auto"/>
        <w:rPr>
          <w:rFonts w:ascii="宋体" w:hAnsi="宋体"/>
          <w:b/>
          <w:snapToGrid w:val="0"/>
          <w:color w:val="auto"/>
          <w:kern w:val="0"/>
          <w:sz w:val="24"/>
        </w:rPr>
      </w:pPr>
      <w:bookmarkStart w:id="112" w:name="_Toc350324536"/>
      <w:r>
        <w:rPr>
          <w:rFonts w:ascii="宋体" w:hAnsi="宋体"/>
          <w:b/>
          <w:snapToGrid w:val="0"/>
          <w:color w:val="auto"/>
          <w:kern w:val="0"/>
          <w:sz w:val="24"/>
        </w:rPr>
        <w:t>图2-</w:t>
      </w:r>
      <w:r>
        <w:rPr>
          <w:rFonts w:hint="eastAsia" w:ascii="宋体" w:hAnsi="宋体"/>
          <w:b/>
          <w:snapToGrid w:val="0"/>
          <w:color w:val="auto"/>
          <w:kern w:val="0"/>
          <w:sz w:val="24"/>
          <w:lang w:val="en-US" w:eastAsia="zh-CN"/>
        </w:rPr>
        <w:t>2</w:t>
      </w:r>
      <w:r>
        <w:rPr>
          <w:rFonts w:ascii="宋体" w:hAnsi="宋体"/>
          <w:b/>
          <w:snapToGrid w:val="0"/>
          <w:color w:val="auto"/>
          <w:kern w:val="0"/>
          <w:sz w:val="24"/>
        </w:rPr>
        <w:t>周边环境卫星图</w:t>
      </w:r>
    </w:p>
    <w:p>
      <w:pPr>
        <w:pStyle w:val="4"/>
        <w:bidi w:val="0"/>
        <w:rPr>
          <w:lang w:eastAsia="zh-CN"/>
        </w:rPr>
      </w:pPr>
      <w:bookmarkStart w:id="113" w:name="_Toc17282"/>
      <w:r>
        <w:rPr>
          <w:rFonts w:hint="eastAsia"/>
          <w:lang w:eastAsia="zh-CN"/>
        </w:rPr>
        <w:t>2.2自然环境概况</w:t>
      </w:r>
      <w:bookmarkEnd w:id="112"/>
      <w:bookmarkEnd w:id="113"/>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rPr>
      </w:pPr>
      <w:bookmarkStart w:id="114" w:name="OLE_LINK1"/>
      <w:bookmarkStart w:id="115" w:name="_Toc350324537"/>
      <w:r>
        <w:rPr>
          <w:rFonts w:hint="eastAsia" w:ascii="宋体" w:hAnsi="宋体" w:eastAsia="宋体" w:cs="宋体"/>
          <w:b/>
          <w:bCs/>
          <w:color w:val="auto"/>
          <w:sz w:val="28"/>
          <w:szCs w:val="28"/>
        </w:rPr>
        <w:t>1．气象、水文</w:t>
      </w:r>
    </w:p>
    <w:p>
      <w:pPr>
        <w:pStyle w:val="130"/>
        <w:spacing w:line="500" w:lineRule="exact"/>
        <w:ind w:firstLine="560"/>
        <w:rPr>
          <w:rFonts w:hint="eastAsia" w:ascii="Times New Roman" w:hAnsi="Times New Roman" w:cs="Times New Roman"/>
          <w:color w:val="auto"/>
          <w:szCs w:val="28"/>
        </w:rPr>
      </w:pPr>
      <w:r>
        <w:rPr>
          <w:rFonts w:hint="eastAsia" w:ascii="Times New Roman" w:hAnsi="Times New Roman" w:cs="Times New Roman"/>
          <w:color w:val="auto"/>
          <w:szCs w:val="28"/>
          <w:lang w:val="en-US" w:eastAsia="zh-CN"/>
        </w:rPr>
        <w:t>该区属亚热带高原季风气候区，冬无严寒，夏无酷暑，枯雨季分明，多年平均降水量872mm，最大1492.7mm，最小714.2mm，蒸发量2055.8mm，其中年降水量的85%主要集中在汛期的5—10月份，降水时空分布极不均匀，年内具有干湿季节分明的特点，日照充足，霜期较短。该区内多年来平均气温17.1℃，其中最高气温42℃，极端低温-8.4℃，气温日差较大，年差较小</w:t>
      </w:r>
      <w:r>
        <w:rPr>
          <w:rFonts w:hint="eastAsia" w:ascii="Times New Roman" w:hAnsi="Times New Roman" w:cs="Times New Roman"/>
          <w:color w:val="auto"/>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矿区地表水系不发育，无大的地表水体及泉水出露，矿区南部分布有丰裕闸水库，地表水总体向矿区南侧沟谷及低凹处排泄</w:t>
      </w:r>
      <w:r>
        <w:rPr>
          <w:rFonts w:hint="eastAsia" w:ascii="宋体" w:hAnsi="宋体" w:eastAsia="宋体" w:cs="宋体"/>
          <w:color w:val="auto"/>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rPr>
      </w:pPr>
      <w:r>
        <w:rPr>
          <w:rFonts w:hint="eastAsia" w:ascii="宋体" w:hAnsi="宋体" w:eastAsia="宋体" w:cs="宋体"/>
          <w:b/>
          <w:bCs/>
          <w:color w:val="auto"/>
          <w:sz w:val="28"/>
          <w:szCs w:val="28"/>
        </w:rPr>
        <w:t>2．地形地貌及植被特征</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矿区地处金沙江一级支流龙川江上游支流西侧斜坡地带，矿区总体地势北西高</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rPr>
        <w:t>南东低，坡面较缓，自然坡度约10°</w:t>
      </w:r>
      <w:r>
        <w:rPr>
          <w:rFonts w:hint="eastAsia" w:ascii="宋体" w:hAnsi="宋体" w:eastAsia="宋体" w:cs="宋体"/>
          <w:color w:val="auto"/>
          <w:sz w:val="28"/>
          <w:szCs w:val="28"/>
          <w:lang w:val="en-US" w:eastAsia="zh-CN"/>
        </w:rPr>
        <w:t>-</w:t>
      </w:r>
      <w:r>
        <w:rPr>
          <w:rFonts w:hint="eastAsia" w:ascii="宋体" w:hAnsi="宋体" w:eastAsia="宋体" w:cs="宋体"/>
          <w:color w:val="auto"/>
          <w:sz w:val="28"/>
          <w:szCs w:val="28"/>
        </w:rPr>
        <w:t>15°，地形切割浅，为构造剥蚀侵蚀低中山地貌区，矿区附近（图幅内）最高点为矿区北侧条形山坡上，海拔标高约1949m，最低点为矿区南侧的沟谷，海拔标高约18</w:t>
      </w: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rPr>
        <w:t>0m，为当地最低侵蚀基准面，相对高差1</w:t>
      </w: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9m，矿区开采标高为1890m—1845m，最低开采标高高于当地最低侵蚀基准面</w:t>
      </w: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5m，矿区及周围地表植被较发育，植被以稀疏桉树林及低矮灌木林为主。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rPr>
      </w:pPr>
      <w:r>
        <w:rPr>
          <w:rFonts w:hint="eastAsia" w:ascii="宋体" w:hAnsi="宋体" w:eastAsia="宋体" w:cs="宋体"/>
          <w:b/>
          <w:bCs/>
          <w:color w:val="auto"/>
          <w:sz w:val="28"/>
          <w:szCs w:val="28"/>
        </w:rPr>
        <w:t>3．经济概况</w:t>
      </w:r>
    </w:p>
    <w:bookmarkEnd w:id="114"/>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矿区离附近村庄较远。交通较为方便，居民以农业种植业为主，主产小麦、玉米、土豆等，经济作物有烤烟、油菜等，农村富余劳动力资源丰富，有利于乡镇及个体企业发展。</w:t>
      </w:r>
    </w:p>
    <w:p>
      <w:pPr>
        <w:pStyle w:val="4"/>
        <w:bidi w:val="0"/>
        <w:rPr>
          <w:lang w:eastAsia="zh-CN"/>
        </w:rPr>
      </w:pPr>
      <w:bookmarkStart w:id="116" w:name="_Toc4470"/>
      <w:r>
        <w:rPr>
          <w:rFonts w:hint="eastAsia"/>
          <w:lang w:eastAsia="zh-CN"/>
        </w:rPr>
        <w:t>2.3地质概况</w:t>
      </w:r>
      <w:bookmarkEnd w:id="115"/>
      <w:bookmarkEnd w:id="116"/>
    </w:p>
    <w:p>
      <w:pPr>
        <w:pStyle w:val="5"/>
        <w:bidi w:val="0"/>
        <w:rPr>
          <w:rFonts w:hint="eastAsia"/>
          <w:lang w:eastAsia="zh-CN"/>
        </w:rPr>
      </w:pPr>
      <w:bookmarkStart w:id="117" w:name="_Toc350324538"/>
      <w:bookmarkStart w:id="118" w:name="_Toc10616"/>
      <w:r>
        <w:rPr>
          <w:rFonts w:hint="eastAsia"/>
          <w:lang w:eastAsia="zh-CN"/>
        </w:rPr>
        <w:t>2.3.1矿区地质概况</w:t>
      </w:r>
      <w:bookmarkEnd w:id="117"/>
      <w:bookmarkEnd w:id="118"/>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color w:val="auto"/>
          <w:lang w:eastAsia="zh-CN"/>
        </w:rPr>
      </w:pPr>
      <w:r>
        <w:rPr>
          <w:rFonts w:hint="eastAsia" w:ascii="宋体" w:hAnsi="宋体" w:eastAsia="宋体" w:cs="宋体"/>
          <w:color w:val="auto"/>
          <w:sz w:val="28"/>
          <w:szCs w:val="28"/>
          <w:lang w:eastAsia="zh-CN"/>
        </w:rPr>
        <w:t>本报告矿区地质资料来源于2015年9月云南省有色地质局楚雄勘查院编制的《云南省牟定县共和镇西山寺砂场普通建筑材料用砂矿资源储量核实报告》。</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1．地层</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lang w:eastAsia="zh-CN"/>
        </w:rPr>
      </w:pPr>
      <w:bookmarkStart w:id="119" w:name="_Toc217829326"/>
      <w:r>
        <w:rPr>
          <w:rFonts w:hint="eastAsia" w:ascii="宋体" w:hAnsi="宋体" w:eastAsia="宋体" w:cs="宋体"/>
          <w:color w:val="auto"/>
          <w:sz w:val="28"/>
          <w:szCs w:val="28"/>
          <w:lang w:eastAsia="zh-CN"/>
        </w:rPr>
        <w:t>矿区出露地层为第四系全新统（Qh）及中生界白垩系下统高丰寺组（K1g）地层，现简述如下：</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lang w:eastAsia="zh-CN"/>
        </w:rPr>
      </w:pPr>
      <w:r>
        <w:rPr>
          <w:rFonts w:hint="eastAsia" w:ascii="宋体" w:hAnsi="宋体" w:cs="宋体"/>
          <w:color w:val="auto"/>
          <w:sz w:val="28"/>
          <w:szCs w:val="28"/>
          <w:lang w:val="en-US" w:eastAsia="zh-CN"/>
        </w:rPr>
        <w:t>（</w:t>
      </w: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lang w:eastAsia="zh-CN"/>
        </w:rPr>
        <w:t>）第四系全新统（Qh）：分布于矿区东南部沟谷地地势相对较低缓部位，为灰黄、灰红、褐红色含碎石粉质粘土，含少量风化砂岩岩块、碎石，含量不均，厚度一般0.5～1.5m，部份地段可达2.5m，与下伏基岩呈不整合接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sz w:val="28"/>
          <w:szCs w:val="28"/>
          <w:lang w:eastAsia="zh-CN"/>
        </w:rPr>
      </w:pPr>
      <w:r>
        <w:rPr>
          <w:rFonts w:hint="eastAsia" w:ascii="宋体" w:hAnsi="宋体" w:cs="宋体"/>
          <w:color w:val="auto"/>
          <w:sz w:val="28"/>
          <w:szCs w:val="28"/>
          <w:lang w:val="en-US" w:eastAsia="zh-CN"/>
        </w:rPr>
        <w:t>（</w:t>
      </w: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lang w:eastAsia="zh-CN"/>
        </w:rPr>
        <w:t>）中生界白垩系下统高丰寺组（K1g）：为矿区主要地层，地表均有出露，局部第四系覆盖，岩性为灰黄、浅褐黄色厚层状细～中粒砂岩夹紫、紫红色中厚层状泥岩；矿区主要为砂岩，为该矿区矿层，在可见开采高度范围内上部岩石普遍全风化呈砂质粘土状，厚约2～4.0m，含泥质、粘土质成分较多，为剥离层；其下部岩石以强风化状为主，岩石只可见原生层理，较疏松，易破碎，并具差异风化，为矿区主要开采矿层，该层厚度大，分布连续，产状315°∠16°，较稳定。</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bCs/>
          <w:color w:val="auto"/>
          <w:sz w:val="28"/>
          <w:szCs w:val="28"/>
        </w:rPr>
      </w:pPr>
      <w:r>
        <w:rPr>
          <w:rFonts w:hint="eastAsia" w:ascii="宋体" w:hAnsi="宋体" w:eastAsia="宋体" w:cs="宋体"/>
          <w:b/>
          <w:bCs/>
          <w:color w:val="auto"/>
          <w:sz w:val="28"/>
          <w:szCs w:val="28"/>
        </w:rPr>
        <w:t>2.构造</w:t>
      </w:r>
      <w:bookmarkEnd w:id="119"/>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矿区范围内无大的断层通过，皱褶构造不发育，为倾向北西的单斜构造，矿区地质构造简单。在多期多级的构造运动中，构造形迹除表现为宏观的褶皱、断裂外，微观上形成了较多的构造及风化裂隙，破坏了岩体的完整性和连续性。矿区范围内岩石呈全～强风化状，以强风化为主，只可见原生层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bCs/>
          <w:color w:val="auto"/>
          <w:sz w:val="28"/>
          <w:szCs w:val="28"/>
        </w:rPr>
      </w:pPr>
      <w:bookmarkStart w:id="120" w:name="_Toc217829327"/>
      <w:r>
        <w:rPr>
          <w:rFonts w:hint="eastAsia" w:ascii="宋体" w:hAnsi="宋体" w:eastAsia="宋体" w:cs="宋体"/>
          <w:b/>
          <w:bCs/>
          <w:color w:val="auto"/>
          <w:sz w:val="28"/>
          <w:szCs w:val="28"/>
        </w:rPr>
        <w:t>3.岩浆岩</w:t>
      </w:r>
    </w:p>
    <w:bookmarkEnd w:id="120"/>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矿区及外围地层未见岩浆岩活动。</w:t>
      </w:r>
      <w:bookmarkStart w:id="121" w:name="_Toc350324539"/>
    </w:p>
    <w:p>
      <w:pPr>
        <w:pStyle w:val="5"/>
        <w:bidi w:val="0"/>
        <w:rPr>
          <w:rFonts w:hint="eastAsia"/>
          <w:lang w:eastAsia="zh-CN"/>
        </w:rPr>
      </w:pPr>
      <w:bookmarkStart w:id="122" w:name="_Toc31495"/>
      <w:r>
        <w:rPr>
          <w:rFonts w:hint="eastAsia"/>
          <w:lang w:eastAsia="zh-CN"/>
        </w:rPr>
        <w:t>2.3.2矿床地质特征</w:t>
      </w:r>
      <w:bookmarkEnd w:id="121"/>
      <w:bookmarkEnd w:id="122"/>
    </w:p>
    <w:p>
      <w:pPr>
        <w:tabs>
          <w:tab w:val="left" w:pos="1267"/>
        </w:tabs>
        <w:spacing w:line="500" w:lineRule="exact"/>
        <w:ind w:firstLine="560" w:firstLineChars="200"/>
        <w:rPr>
          <w:rFonts w:hint="eastAsia" w:ascii="宋体" w:hAnsi="宋体" w:cs="宋体"/>
          <w:b/>
          <w:color w:val="auto"/>
          <w:sz w:val="28"/>
          <w:szCs w:val="28"/>
        </w:rPr>
      </w:pPr>
      <w:bookmarkStart w:id="123" w:name="_Toc312919512"/>
      <w:bookmarkStart w:id="124" w:name="_Toc313634364"/>
      <w:r>
        <w:rPr>
          <w:rFonts w:hint="eastAsia" w:ascii="宋体" w:hAnsi="宋体" w:cs="宋体"/>
          <w:b/>
          <w:color w:val="auto"/>
          <w:sz w:val="28"/>
          <w:szCs w:val="28"/>
        </w:rPr>
        <w:t>1.矿体特征</w:t>
      </w:r>
    </w:p>
    <w:p>
      <w:pPr>
        <w:spacing w:line="500" w:lineRule="exact"/>
        <w:ind w:firstLine="560" w:firstLineChars="200"/>
        <w:rPr>
          <w:rFonts w:ascii="宋体" w:hAnsi="宋体"/>
          <w:color w:val="auto"/>
          <w:sz w:val="28"/>
          <w:szCs w:val="28"/>
        </w:rPr>
      </w:pPr>
      <w:r>
        <w:rPr>
          <w:rFonts w:hint="eastAsia" w:ascii="宋体" w:hAnsi="宋体"/>
          <w:color w:val="auto"/>
          <w:sz w:val="28"/>
          <w:szCs w:val="28"/>
        </w:rPr>
        <w:t>本区砂矿产于中生界白垩系下统高丰寺组（K1g）地层中的厚层、巨厚层状砂岩段（K1g），该砂岩即为矿层，地层呈单斜层状产出，产状：315°∠16°，分布稳定，连续性较好，开采段长约170m，宽约155m，厚约40m。矿石岩性为灰黄、浅褐黄色砂岩，细～中粒结构，厚层、巨厚层状构造。因矿石中含有一定量的易风化矿物长石，胶结物中含钙质，致使矿层抗风化强度较低，在开采深度范围内岩石风化较强，呈全～强风化状，岩石疏松易破碎，表层2～4.0m段含泥质、粘土质成分较多，砂质较少，为剥离层。</w:t>
      </w:r>
    </w:p>
    <w:p>
      <w:pPr>
        <w:spacing w:line="500" w:lineRule="exact"/>
        <w:ind w:firstLine="572" w:firstLineChars="200"/>
        <w:rPr>
          <w:rStyle w:val="75"/>
          <w:rFonts w:hint="eastAsia" w:ascii="宋体" w:hAnsi="宋体" w:cs="宋体"/>
          <w:color w:val="auto"/>
          <w:spacing w:val="-4"/>
          <w:w w:val="105"/>
          <w:kern w:val="0"/>
          <w:sz w:val="28"/>
          <w:szCs w:val="28"/>
        </w:rPr>
      </w:pPr>
      <w:r>
        <w:rPr>
          <w:rStyle w:val="75"/>
          <w:rFonts w:hint="eastAsia" w:ascii="宋体" w:hAnsi="宋体" w:cs="宋体"/>
          <w:color w:val="auto"/>
          <w:spacing w:val="-4"/>
          <w:w w:val="105"/>
          <w:kern w:val="0"/>
          <w:sz w:val="28"/>
          <w:szCs w:val="28"/>
        </w:rPr>
        <w:t>2.</w:t>
      </w:r>
      <w:r>
        <w:rPr>
          <w:rFonts w:hint="eastAsia" w:ascii="宋体" w:hAnsi="宋体" w:cs="宋体"/>
          <w:b/>
          <w:color w:val="auto"/>
          <w:sz w:val="28"/>
          <w:szCs w:val="28"/>
        </w:rPr>
        <w:t>矿石质量特征</w:t>
      </w:r>
    </w:p>
    <w:p>
      <w:pPr>
        <w:spacing w:line="500" w:lineRule="exact"/>
        <w:ind w:firstLine="560" w:firstLineChars="200"/>
        <w:rPr>
          <w:rFonts w:hint="eastAsia" w:ascii="宋体" w:hAnsi="宋体"/>
          <w:color w:val="auto"/>
          <w:sz w:val="28"/>
          <w:szCs w:val="28"/>
        </w:rPr>
      </w:pPr>
      <w:bookmarkStart w:id="125" w:name="_Toc312919510"/>
      <w:r>
        <w:rPr>
          <w:rFonts w:hint="eastAsia" w:ascii="宋体" w:hAnsi="宋体"/>
          <w:color w:val="auto"/>
          <w:sz w:val="28"/>
          <w:szCs w:val="28"/>
        </w:rPr>
        <w:t>矿区矿石矿物成份简单，碎屑物以石英为主，部分为长石，少量硅质岩岩屑等，呈细～中粒结构，粒度较均匀，胶结物为钙质、泥质成分，呈接触式及孔隙式胶结。矿石中无金属矿物，无其它有毒有害成份或放射性元素。</w:t>
      </w:r>
    </w:p>
    <w:p>
      <w:pPr>
        <w:spacing w:line="500" w:lineRule="exact"/>
        <w:ind w:firstLine="560" w:firstLineChars="200"/>
        <w:rPr>
          <w:rFonts w:ascii="宋体" w:hAnsi="宋体"/>
          <w:color w:val="auto"/>
          <w:sz w:val="28"/>
          <w:szCs w:val="28"/>
        </w:rPr>
      </w:pPr>
      <w:r>
        <w:rPr>
          <w:rFonts w:hint="eastAsia" w:ascii="宋体" w:hAnsi="宋体"/>
          <w:color w:val="auto"/>
          <w:sz w:val="28"/>
          <w:szCs w:val="28"/>
        </w:rPr>
        <w:t>矿区所开采的为灰黄、浅褐黄色砂岩，细～中粒结构，厚层、巨厚层状构造。矿石节理发育，呈强风化状，疏松破碎；本次延用2010年云南省牟定共和西山寺砂场的检验报告；据该检验报告分析成果表，该矿山矿石含泥量14.27%，细度模数1.80，平均粒径0.357（d=50），不均匀系数CV=23.0；粒径2～0.5mm占42%，0.5～0.25mm占14%，0.25～0.075mm占27%，0.075～0.05mm占5%，0.05～0.01mm占6%，0.01～0.005占2%，＜0.005占4%，密度2.07g/m3，比重2.64。按JGJ52标准为细砂，详见检验报告。矿区砂料为质量较好的民用建筑砂料。按照《岩体工程分级分类标准》，本区砂岩属强风化带，疏松破碎，岩体基本质量等级为Ⅳ类。</w:t>
      </w:r>
    </w:p>
    <w:bookmarkEnd w:id="125"/>
    <w:p>
      <w:pPr>
        <w:spacing w:line="500" w:lineRule="exact"/>
        <w:ind w:firstLine="560" w:firstLineChars="200"/>
        <w:rPr>
          <w:rFonts w:hint="eastAsia" w:ascii="宋体" w:hAnsi="宋体"/>
          <w:b/>
          <w:color w:val="auto"/>
          <w:sz w:val="28"/>
          <w:szCs w:val="28"/>
        </w:rPr>
      </w:pPr>
      <w:r>
        <w:rPr>
          <w:rFonts w:hint="eastAsia" w:ascii="宋体" w:hAnsi="宋体"/>
          <w:b/>
          <w:color w:val="auto"/>
          <w:sz w:val="28"/>
          <w:szCs w:val="28"/>
        </w:rPr>
        <w:t>3.矿石类型和品级</w:t>
      </w:r>
    </w:p>
    <w:p>
      <w:pPr>
        <w:spacing w:line="500" w:lineRule="exact"/>
        <w:ind w:firstLine="560" w:firstLineChars="200"/>
        <w:rPr>
          <w:rFonts w:hint="eastAsia" w:ascii="宋体" w:hAnsi="宋体"/>
          <w:color w:val="auto"/>
          <w:sz w:val="28"/>
          <w:szCs w:val="28"/>
        </w:rPr>
      </w:pPr>
      <w:r>
        <w:rPr>
          <w:rFonts w:hint="eastAsia" w:ascii="宋体" w:hAnsi="宋体"/>
          <w:color w:val="auto"/>
          <w:sz w:val="28"/>
          <w:szCs w:val="28"/>
        </w:rPr>
        <w:t>根据收集资料，花岗岩抗磨耗冲击性能LAA：11.9（%），IP：162，K</w:t>
      </w:r>
      <w:r>
        <w:rPr>
          <w:rFonts w:hint="eastAsia" w:ascii="宋体" w:hAnsi="宋体"/>
          <w:color w:val="auto"/>
          <w:sz w:val="28"/>
          <w:szCs w:val="28"/>
          <w:vertAlign w:val="subscript"/>
        </w:rPr>
        <w:t>干磨</w:t>
      </w:r>
      <w:r>
        <w:rPr>
          <w:rFonts w:hint="eastAsia" w:ascii="宋体" w:hAnsi="宋体"/>
          <w:color w:val="auto"/>
          <w:sz w:val="28"/>
          <w:szCs w:val="28"/>
        </w:rPr>
        <w:t>：18.3；抗压碎性能CA：5.1（%），CB16.1（%）；渗水性能指标P</w:t>
      </w:r>
      <w:r>
        <w:rPr>
          <w:rFonts w:hint="eastAsia" w:ascii="宋体" w:hAnsi="宋体"/>
          <w:color w:val="auto"/>
          <w:sz w:val="28"/>
          <w:szCs w:val="28"/>
          <w:vertAlign w:val="subscript"/>
        </w:rPr>
        <w:t>m</w:t>
      </w:r>
      <w:r>
        <w:rPr>
          <w:rFonts w:hint="eastAsia" w:ascii="宋体" w:hAnsi="宋体"/>
          <w:color w:val="auto"/>
          <w:sz w:val="28"/>
          <w:szCs w:val="28"/>
        </w:rPr>
        <w:t>：22.9（10</w:t>
      </w:r>
      <w:r>
        <w:rPr>
          <w:rFonts w:hint="eastAsia" w:ascii="宋体" w:hAnsi="宋体"/>
          <w:color w:val="auto"/>
          <w:sz w:val="28"/>
          <w:szCs w:val="28"/>
          <w:vertAlign w:val="superscript"/>
        </w:rPr>
        <w:t>-6</w:t>
      </w:r>
      <w:r>
        <w:rPr>
          <w:rFonts w:hint="eastAsia" w:ascii="宋体" w:hAnsi="宋体"/>
          <w:color w:val="auto"/>
          <w:sz w:val="28"/>
          <w:szCs w:val="28"/>
        </w:rPr>
        <w:t>m/s），σ：0.2（Mpa），LL：23.9（%），PL：16.6（%）；抗大气腐蚀破坏L：0.0（%）；稳定性能ρ：2.64（g/cm</w:t>
      </w:r>
      <w:r>
        <w:rPr>
          <w:rFonts w:hint="eastAsia" w:ascii="宋体" w:hAnsi="宋体"/>
          <w:color w:val="auto"/>
          <w:sz w:val="28"/>
          <w:szCs w:val="28"/>
          <w:vertAlign w:val="superscript"/>
        </w:rPr>
        <w:t>3</w:t>
      </w:r>
      <w:r>
        <w:rPr>
          <w:rFonts w:hint="eastAsia" w:ascii="宋体" w:hAnsi="宋体"/>
          <w:color w:val="auto"/>
          <w:sz w:val="28"/>
          <w:szCs w:val="28"/>
        </w:rPr>
        <w:t>），γ：2.63（g/cm</w:t>
      </w:r>
      <w:r>
        <w:rPr>
          <w:rFonts w:hint="eastAsia" w:ascii="宋体" w:hAnsi="宋体"/>
          <w:color w:val="auto"/>
          <w:sz w:val="28"/>
          <w:szCs w:val="28"/>
          <w:vertAlign w:val="superscript"/>
        </w:rPr>
        <w:t>3</w:t>
      </w:r>
      <w:r>
        <w:rPr>
          <w:rFonts w:hint="eastAsia" w:ascii="宋体" w:hAnsi="宋体"/>
          <w:color w:val="auto"/>
          <w:sz w:val="28"/>
          <w:szCs w:val="28"/>
        </w:rPr>
        <w:t>）。单轴抗压强度Q1：119（Mpa），湿单轴平均抗压强度：Q2：82（Mpa），根据JTGE41-2005标准，综合评价云南省元谋县花岗岩为铁路较好的铺垫石料</w:t>
      </w:r>
      <w:r>
        <w:rPr>
          <w:rFonts w:hint="eastAsia" w:ascii="宋体" w:hAnsi="宋体"/>
          <w:color w:val="auto"/>
          <w:sz w:val="28"/>
          <w:szCs w:val="28"/>
          <w:lang w:eastAsia="zh-CN"/>
        </w:rPr>
        <w:t>及其他</w:t>
      </w:r>
      <w:r>
        <w:rPr>
          <w:rFonts w:hint="eastAsia" w:ascii="宋体" w:hAnsi="宋体"/>
          <w:color w:val="auto"/>
          <w:sz w:val="28"/>
          <w:szCs w:val="28"/>
        </w:rPr>
        <w:t>建筑用石料。</w:t>
      </w:r>
    </w:p>
    <w:p>
      <w:pPr>
        <w:spacing w:line="500" w:lineRule="exact"/>
        <w:ind w:firstLine="560" w:firstLineChars="200"/>
        <w:rPr>
          <w:rFonts w:ascii="宋体" w:hAnsi="宋体"/>
          <w:b/>
          <w:color w:val="auto"/>
          <w:sz w:val="28"/>
          <w:szCs w:val="28"/>
        </w:rPr>
      </w:pPr>
      <w:r>
        <w:rPr>
          <w:rFonts w:hint="eastAsia" w:ascii="宋体" w:hAnsi="宋体"/>
          <w:b/>
          <w:color w:val="auto"/>
          <w:sz w:val="28"/>
          <w:szCs w:val="28"/>
        </w:rPr>
        <w:t>4.矿体围岩和夹石</w:t>
      </w:r>
    </w:p>
    <w:bookmarkEnd w:id="123"/>
    <w:bookmarkEnd w:id="124"/>
    <w:p>
      <w:pPr>
        <w:spacing w:line="500" w:lineRule="exact"/>
        <w:ind w:firstLine="560" w:firstLineChars="200"/>
        <w:rPr>
          <w:rFonts w:hint="eastAsia" w:ascii="宋体" w:hAnsi="宋体" w:eastAsia="宋体" w:cs="Times New Roman"/>
          <w:color w:val="auto"/>
          <w:sz w:val="28"/>
          <w:szCs w:val="28"/>
        </w:rPr>
      </w:pPr>
      <w:r>
        <w:rPr>
          <w:rFonts w:hint="eastAsia" w:ascii="宋体" w:hAnsi="宋体" w:eastAsia="宋体" w:cs="Times New Roman"/>
          <w:color w:val="auto"/>
          <w:sz w:val="28"/>
          <w:szCs w:val="28"/>
          <w:lang w:val="en-US" w:eastAsia="zh-CN"/>
        </w:rPr>
        <w:t xml:space="preserve"> </w:t>
      </w:r>
      <w:r>
        <w:rPr>
          <w:rFonts w:hint="eastAsia" w:ascii="宋体" w:hAnsi="宋体" w:eastAsia="宋体" w:cs="Times New Roman"/>
          <w:color w:val="auto"/>
          <w:sz w:val="28"/>
          <w:szCs w:val="28"/>
        </w:rPr>
        <w:t>花岗岩为露天开采，开采时矿体剥离层、围岩及夹石主要有：</w:t>
      </w:r>
    </w:p>
    <w:p>
      <w:pPr>
        <w:spacing w:line="500" w:lineRule="exact"/>
        <w:ind w:firstLine="560" w:firstLineChars="200"/>
        <w:rPr>
          <w:rFonts w:hint="eastAsia" w:ascii="宋体" w:hAnsi="宋体" w:eastAsia="宋体" w:cs="Times New Roman"/>
          <w:color w:val="auto"/>
          <w:sz w:val="28"/>
          <w:szCs w:val="28"/>
        </w:rPr>
      </w:pPr>
      <w:r>
        <w:rPr>
          <w:rFonts w:hint="eastAsia" w:ascii="宋体" w:hAnsi="宋体" w:eastAsia="宋体" w:cs="Times New Roman"/>
          <w:color w:val="auto"/>
          <w:sz w:val="28"/>
          <w:szCs w:val="28"/>
        </w:rPr>
        <w:t>（1）剥离层：为少量第四系残坡积层和强风化花岗岩，分布于矿区地表局部，厚0.5-2.0m，易剥离，对开采影响不大。</w:t>
      </w:r>
    </w:p>
    <w:p>
      <w:pPr>
        <w:spacing w:line="500" w:lineRule="exact"/>
        <w:ind w:firstLine="560" w:firstLineChars="200"/>
        <w:rPr>
          <w:rFonts w:hint="eastAsia" w:ascii="宋体" w:hAnsi="宋体" w:eastAsia="宋体" w:cs="Times New Roman"/>
          <w:color w:val="auto"/>
          <w:sz w:val="28"/>
          <w:szCs w:val="28"/>
        </w:rPr>
      </w:pPr>
      <w:r>
        <w:rPr>
          <w:rFonts w:hint="eastAsia" w:ascii="宋体" w:hAnsi="宋体" w:eastAsia="宋体" w:cs="Times New Roman"/>
          <w:color w:val="auto"/>
          <w:sz w:val="28"/>
          <w:szCs w:val="28"/>
        </w:rPr>
        <w:t>（2）夹石：主要为辉绿岩脉，厚度约1-2m，厚度较小，多具中等-弱风化，对矿体的连续性影响较小。</w:t>
      </w:r>
    </w:p>
    <w:p>
      <w:pPr>
        <w:spacing w:line="500" w:lineRule="exact"/>
        <w:ind w:firstLine="560" w:firstLineChars="200"/>
        <w:rPr>
          <w:rFonts w:hint="eastAsia" w:ascii="宋体" w:hAnsi="宋体" w:eastAsia="宋体" w:cs="Times New Roman"/>
          <w:color w:val="auto"/>
          <w:sz w:val="28"/>
          <w:szCs w:val="28"/>
        </w:rPr>
      </w:pPr>
      <w:r>
        <w:rPr>
          <w:rFonts w:hint="eastAsia" w:ascii="宋体" w:hAnsi="宋体" w:eastAsia="宋体" w:cs="Times New Roman"/>
          <w:color w:val="auto"/>
          <w:sz w:val="28"/>
          <w:szCs w:val="28"/>
        </w:rPr>
        <w:t>（3）围岩：矿体围岩为晋宁期花岗岩，与矿体岩性一致，分布范围较广，岩石结构较稳定。</w:t>
      </w:r>
    </w:p>
    <w:p>
      <w:pPr>
        <w:spacing w:line="500" w:lineRule="exact"/>
        <w:ind w:firstLine="560" w:firstLineChars="200"/>
        <w:rPr>
          <w:rFonts w:ascii="宋体" w:hAnsi="宋体"/>
          <w:b/>
          <w:color w:val="auto"/>
          <w:sz w:val="28"/>
          <w:szCs w:val="28"/>
        </w:rPr>
      </w:pPr>
      <w:r>
        <w:rPr>
          <w:rFonts w:hint="eastAsia" w:ascii="宋体" w:hAnsi="宋体"/>
          <w:b/>
          <w:color w:val="auto"/>
          <w:sz w:val="28"/>
          <w:szCs w:val="28"/>
        </w:rPr>
        <w:t>5.矿石加工技术性能</w:t>
      </w:r>
    </w:p>
    <w:p>
      <w:pPr>
        <w:widowControl/>
        <w:spacing w:line="500" w:lineRule="exact"/>
        <w:ind w:firstLine="560" w:firstLineChars="200"/>
        <w:textAlignment w:val="baseline"/>
        <w:rPr>
          <w:rFonts w:ascii="宋体" w:hAnsi="宋体"/>
          <w:color w:val="auto"/>
          <w:kern w:val="0"/>
          <w:sz w:val="28"/>
          <w:szCs w:val="28"/>
        </w:rPr>
      </w:pPr>
      <w:bookmarkStart w:id="126" w:name="_Toc259086449"/>
      <w:bookmarkStart w:id="127" w:name="_Toc225912787"/>
      <w:bookmarkStart w:id="128" w:name="_Toc118220268"/>
      <w:r>
        <w:rPr>
          <w:rFonts w:ascii="宋体" w:hAnsi="宋体"/>
          <w:color w:val="auto"/>
          <w:kern w:val="0"/>
          <w:sz w:val="28"/>
          <w:szCs w:val="28"/>
        </w:rPr>
        <w:t>本区</w:t>
      </w:r>
      <w:r>
        <w:rPr>
          <w:rFonts w:hint="eastAsia" w:ascii="宋体" w:hAnsi="宋体"/>
          <w:color w:val="auto"/>
          <w:kern w:val="0"/>
          <w:sz w:val="28"/>
          <w:szCs w:val="28"/>
        </w:rPr>
        <w:t>花岗岩</w:t>
      </w:r>
      <w:r>
        <w:rPr>
          <w:rFonts w:ascii="宋体" w:hAnsi="宋体"/>
          <w:color w:val="auto"/>
          <w:kern w:val="0"/>
          <w:sz w:val="28"/>
          <w:szCs w:val="28"/>
        </w:rPr>
        <w:t>呈</w:t>
      </w:r>
      <w:r>
        <w:rPr>
          <w:rFonts w:hint="eastAsia" w:ascii="宋体" w:hAnsi="宋体"/>
          <w:color w:val="auto"/>
          <w:kern w:val="0"/>
          <w:sz w:val="28"/>
          <w:szCs w:val="28"/>
        </w:rPr>
        <w:t>巨厚层状</w:t>
      </w:r>
      <w:r>
        <w:rPr>
          <w:rFonts w:ascii="宋体" w:hAnsi="宋体"/>
          <w:color w:val="auto"/>
          <w:kern w:val="0"/>
          <w:sz w:val="28"/>
          <w:szCs w:val="28"/>
        </w:rPr>
        <w:t>产出，</w:t>
      </w:r>
      <w:r>
        <w:rPr>
          <w:rFonts w:hint="eastAsia" w:ascii="宋体" w:hAnsi="宋体"/>
          <w:color w:val="auto"/>
          <w:kern w:val="0"/>
          <w:sz w:val="28"/>
          <w:szCs w:val="28"/>
        </w:rPr>
        <w:t>矿石呈致密花岗结构、块状构造，裂隙较发育，</w:t>
      </w:r>
      <w:r>
        <w:rPr>
          <w:rFonts w:ascii="宋体" w:hAnsi="宋体"/>
          <w:color w:val="auto"/>
          <w:kern w:val="0"/>
          <w:sz w:val="28"/>
          <w:szCs w:val="28"/>
        </w:rPr>
        <w:t>易于开采，</w:t>
      </w:r>
      <w:r>
        <w:rPr>
          <w:rFonts w:hint="eastAsia" w:ascii="宋体" w:hAnsi="宋体"/>
          <w:color w:val="auto"/>
          <w:kern w:val="0"/>
          <w:sz w:val="28"/>
          <w:szCs w:val="28"/>
        </w:rPr>
        <w:t>矿山</w:t>
      </w:r>
      <w:r>
        <w:rPr>
          <w:rFonts w:ascii="宋体" w:hAnsi="宋体"/>
          <w:color w:val="auto"/>
          <w:kern w:val="0"/>
          <w:sz w:val="28"/>
          <w:szCs w:val="28"/>
        </w:rPr>
        <w:t>采用露天机械化</w:t>
      </w:r>
      <w:r>
        <w:rPr>
          <w:rFonts w:hint="eastAsia" w:ascii="宋体" w:hAnsi="宋体"/>
          <w:color w:val="auto"/>
          <w:kern w:val="0"/>
          <w:sz w:val="28"/>
          <w:szCs w:val="28"/>
        </w:rPr>
        <w:t>挖掘式</w:t>
      </w:r>
      <w:r>
        <w:rPr>
          <w:rFonts w:ascii="宋体" w:hAnsi="宋体"/>
          <w:color w:val="auto"/>
          <w:kern w:val="0"/>
          <w:sz w:val="28"/>
          <w:szCs w:val="28"/>
        </w:rPr>
        <w:t>开采</w:t>
      </w:r>
      <w:r>
        <w:rPr>
          <w:rFonts w:hint="eastAsia" w:ascii="宋体" w:hAnsi="宋体"/>
          <w:color w:val="auto"/>
          <w:kern w:val="0"/>
          <w:sz w:val="28"/>
          <w:szCs w:val="28"/>
        </w:rPr>
        <w:t>，采出的花岗岩矿石经破碎、粉碎装车外运销售</w:t>
      </w:r>
      <w:r>
        <w:rPr>
          <w:rFonts w:ascii="宋体" w:hAnsi="宋体"/>
          <w:color w:val="auto"/>
          <w:kern w:val="0"/>
          <w:sz w:val="28"/>
          <w:szCs w:val="28"/>
        </w:rPr>
        <w:t>。</w:t>
      </w:r>
    </w:p>
    <w:p>
      <w:pPr>
        <w:widowControl/>
        <w:spacing w:line="500" w:lineRule="exact"/>
        <w:ind w:firstLine="560" w:firstLineChars="200"/>
        <w:textAlignment w:val="baseline"/>
        <w:rPr>
          <w:rFonts w:hint="eastAsia" w:ascii="宋体" w:hAnsi="宋体" w:eastAsia="宋体"/>
          <w:color w:val="auto"/>
          <w:kern w:val="0"/>
          <w:sz w:val="28"/>
          <w:szCs w:val="28"/>
          <w:lang w:eastAsia="zh-CN"/>
        </w:rPr>
      </w:pPr>
      <w:r>
        <w:rPr>
          <w:rFonts w:hint="eastAsia" w:ascii="宋体" w:hAnsi="宋体"/>
          <w:color w:val="auto"/>
          <w:kern w:val="0"/>
          <w:sz w:val="28"/>
          <w:szCs w:val="28"/>
        </w:rPr>
        <w:t>其生产工艺流程大体如下：</w:t>
      </w:r>
    </w:p>
    <w:p>
      <w:pPr>
        <w:widowControl/>
        <w:tabs>
          <w:tab w:val="left" w:pos="1800"/>
          <w:tab w:val="left" w:pos="3600"/>
        </w:tabs>
        <w:spacing w:line="500" w:lineRule="exact"/>
        <w:ind w:firstLine="560" w:firstLineChars="200"/>
        <w:textAlignment w:val="baseline"/>
        <w:rPr>
          <w:rFonts w:ascii="宋体" w:hAnsi="宋体"/>
          <w:color w:val="auto"/>
          <w:kern w:val="0"/>
          <w:sz w:val="28"/>
          <w:szCs w:val="28"/>
        </w:rPr>
      </w:pPr>
      <w:r>
        <w:rPr>
          <w:rFonts w:hint="eastAsia" w:ascii="宋体" w:hAnsi="宋体"/>
          <w:color w:val="auto"/>
          <w:kern w:val="0"/>
          <w:sz w:val="28"/>
          <w:szCs w:val="28"/>
        </w:rPr>
        <w:t>剥离表面残坡积土→打眼→爆破→机械挖掘式开采→较大块体破碎→粉碎机粉碎→装车→外运销售。</w:t>
      </w:r>
    </w:p>
    <w:p>
      <w:pPr>
        <w:widowControl/>
        <w:spacing w:line="500" w:lineRule="exact"/>
        <w:ind w:firstLine="560" w:firstLineChars="200"/>
        <w:textAlignment w:val="baseline"/>
        <w:rPr>
          <w:rStyle w:val="75"/>
          <w:rFonts w:hint="eastAsia" w:ascii="宋体" w:hAnsi="宋体"/>
          <w:color w:val="auto"/>
          <w:kern w:val="0"/>
          <w:sz w:val="28"/>
          <w:szCs w:val="28"/>
        </w:rPr>
      </w:pPr>
      <w:r>
        <w:rPr>
          <w:rFonts w:ascii="宋体" w:hAnsi="宋体"/>
          <w:color w:val="auto"/>
          <w:kern w:val="0"/>
          <w:sz w:val="28"/>
          <w:szCs w:val="28"/>
        </w:rPr>
        <w:t>矿山开拓运输系统选择道路</w:t>
      </w:r>
      <w:r>
        <w:rPr>
          <w:rFonts w:hint="eastAsia" w:ascii="宋体" w:hAnsi="宋体"/>
          <w:color w:val="auto"/>
          <w:kern w:val="0"/>
          <w:sz w:val="28"/>
          <w:szCs w:val="28"/>
        </w:rPr>
        <w:t>-</w:t>
      </w:r>
      <w:r>
        <w:rPr>
          <w:rFonts w:ascii="宋体" w:hAnsi="宋体"/>
          <w:color w:val="auto"/>
          <w:kern w:val="0"/>
          <w:sz w:val="28"/>
          <w:szCs w:val="28"/>
        </w:rPr>
        <w:t>汽车开拓运输，道路运输开拓线路的布置形式为直通式开拓。</w:t>
      </w:r>
      <w:r>
        <w:rPr>
          <w:rFonts w:hint="eastAsia" w:ascii="宋体" w:hAnsi="宋体"/>
          <w:color w:val="auto"/>
          <w:sz w:val="28"/>
          <w:szCs w:val="28"/>
        </w:rPr>
        <w:t>矿石中</w:t>
      </w:r>
      <w:r>
        <w:rPr>
          <w:rFonts w:hint="eastAsia" w:ascii="宋体" w:hAnsi="宋体"/>
          <w:color w:val="auto"/>
          <w:sz w:val="28"/>
          <w:szCs w:val="28"/>
          <w:lang w:eastAsia="zh-CN"/>
        </w:rPr>
        <w:t>未发现其他</w:t>
      </w:r>
      <w:r>
        <w:rPr>
          <w:rFonts w:hint="eastAsia" w:ascii="宋体" w:hAnsi="宋体"/>
          <w:color w:val="auto"/>
          <w:sz w:val="28"/>
          <w:szCs w:val="28"/>
        </w:rPr>
        <w:t>共（伴）生矿产，矿石加工技术性能简单。</w:t>
      </w:r>
      <w:bookmarkEnd w:id="126"/>
      <w:bookmarkEnd w:id="127"/>
      <w:bookmarkEnd w:id="128"/>
    </w:p>
    <w:p>
      <w:pPr>
        <w:pStyle w:val="5"/>
        <w:bidi w:val="0"/>
        <w:rPr>
          <w:rFonts w:hint="eastAsia"/>
          <w:lang w:eastAsia="zh-CN"/>
        </w:rPr>
      </w:pPr>
      <w:bookmarkStart w:id="129" w:name="_Toc350324540"/>
      <w:bookmarkStart w:id="130" w:name="_Toc7177"/>
      <w:r>
        <w:rPr>
          <w:rFonts w:hint="eastAsia"/>
          <w:lang w:eastAsia="zh-CN"/>
        </w:rPr>
        <w:t>2.3.3矿区水文地质</w:t>
      </w:r>
      <w:bookmarkEnd w:id="129"/>
      <w:bookmarkEnd w:id="130"/>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en-US" w:eastAsia="zh-CN" w:bidi="ar-SA"/>
        </w:rPr>
      </w:pPr>
      <w:bookmarkStart w:id="131" w:name="_Toc191785737"/>
      <w:bookmarkStart w:id="132" w:name="_Toc191786597"/>
      <w:bookmarkStart w:id="133" w:name="_Toc311719317"/>
      <w:bookmarkStart w:id="134" w:name="_Toc317594336"/>
      <w:bookmarkStart w:id="135" w:name="_Toc312919520"/>
      <w:bookmarkStart w:id="136" w:name="_Toc20246"/>
      <w:bookmarkStart w:id="137" w:name="_Toc198224411"/>
      <w:bookmarkStart w:id="138" w:name="_Toc195018544"/>
      <w:bookmarkStart w:id="139" w:name="_Toc145785243"/>
      <w:bookmarkStart w:id="140" w:name="_Toc317594340"/>
      <w:bookmarkStart w:id="141" w:name="_Toc312919523"/>
      <w:r>
        <w:rPr>
          <w:rFonts w:hint="eastAsia" w:ascii="宋体" w:hAnsi="宋体" w:eastAsia="宋体" w:cs="宋体"/>
          <w:color w:val="auto"/>
          <w:kern w:val="0"/>
          <w:sz w:val="28"/>
          <w:szCs w:val="28"/>
          <w:lang w:val="en-US" w:eastAsia="zh-CN" w:bidi="ar-SA"/>
        </w:rPr>
        <w:t>矿区地处金沙江水系龙川江下游蜻蛉支流谷坡地段，总体地形东高西低。矿区东侧最高点海拔1187m，最低点为矿区南侧碎石场，海拔标高1054m，相对高差133m。当地最低侵蚀基准面为矿区西侧的蜻蛉支流冲沟，海拔约1000m。矿山采用露天开采，开采深度1164-1078m，处于侵蚀基准面以上约90m。</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en-US" w:eastAsia="zh-CN" w:bidi="ar-SA"/>
        </w:rPr>
      </w:pPr>
      <w:r>
        <w:rPr>
          <w:rFonts w:hint="eastAsia" w:ascii="宋体" w:hAnsi="宋体" w:eastAsia="宋体" w:cs="宋体"/>
          <w:color w:val="auto"/>
          <w:kern w:val="0"/>
          <w:sz w:val="28"/>
          <w:szCs w:val="28"/>
          <w:lang w:val="en-US" w:eastAsia="zh-CN" w:bidi="ar-SA"/>
        </w:rPr>
        <w:t>由于矿区现在无河流与其他的地表水体，地下水主要接受大气降水补给及外围熔岩水侧向径流补给，地表水和地下水水力联系相对较差，地下水类型为基岩裂隙水，富水性弱。矿山为露天爆破开采，矿体开采标高1164-1078m。当地侵蚀基准面海拔1000m，最低开采标高位于侵蚀基准面以上约90m。矿山深部开采诱发或加剧小规模的突水、涌水或流砂等水文地质问题的可能性较小。矿区及周边无泉水出露，地下水被揭露从而影响矿山生产的可能性较小。</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en-US" w:eastAsia="zh-CN" w:bidi="ar-SA"/>
        </w:rPr>
      </w:pPr>
      <w:r>
        <w:rPr>
          <w:rFonts w:hint="eastAsia" w:ascii="宋体" w:hAnsi="宋体" w:eastAsia="宋体" w:cs="宋体"/>
          <w:color w:val="auto"/>
          <w:kern w:val="0"/>
          <w:sz w:val="28"/>
          <w:szCs w:val="28"/>
          <w:lang w:val="en-US" w:eastAsia="zh-CN" w:bidi="ar-SA"/>
        </w:rPr>
        <w:t>在矿山开采过程中，应对工作区坡面和外围设置截排水沟，防止雨水对工作边坡的冲涮，诱发或加剧地质灾害的发生。</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en-US" w:eastAsia="zh-CN" w:bidi="ar-SA"/>
        </w:rPr>
      </w:pPr>
      <w:r>
        <w:rPr>
          <w:rFonts w:hint="eastAsia" w:ascii="宋体" w:hAnsi="宋体" w:eastAsia="宋体" w:cs="宋体"/>
          <w:color w:val="auto"/>
          <w:kern w:val="0"/>
          <w:sz w:val="28"/>
          <w:szCs w:val="28"/>
          <w:lang w:val="en-US" w:eastAsia="zh-CN" w:bidi="ar-SA"/>
        </w:rPr>
        <w:t>根据上述，矿区水文地质条件属简单类型。</w:t>
      </w:r>
      <w:bookmarkEnd w:id="131"/>
      <w:bookmarkEnd w:id="132"/>
    </w:p>
    <w:bookmarkEnd w:id="133"/>
    <w:bookmarkEnd w:id="134"/>
    <w:bookmarkEnd w:id="135"/>
    <w:p>
      <w:pPr>
        <w:pStyle w:val="5"/>
        <w:bidi w:val="0"/>
        <w:rPr>
          <w:rFonts w:hint="eastAsia"/>
          <w:lang w:eastAsia="zh-CN"/>
        </w:rPr>
      </w:pPr>
      <w:bookmarkStart w:id="142" w:name="_Toc4264"/>
      <w:r>
        <w:rPr>
          <w:rFonts w:hint="eastAsia"/>
          <w:lang w:eastAsia="zh-CN"/>
        </w:rPr>
        <w:t>2.3.4工程地质条件</w:t>
      </w:r>
      <w:bookmarkEnd w:id="142"/>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en-US" w:eastAsia="zh-CN" w:bidi="ar-SA"/>
        </w:rPr>
      </w:pPr>
      <w:r>
        <w:rPr>
          <w:rFonts w:hint="eastAsia" w:ascii="宋体" w:hAnsi="宋体" w:eastAsia="宋体" w:cs="宋体"/>
          <w:color w:val="auto"/>
          <w:kern w:val="0"/>
          <w:sz w:val="28"/>
          <w:szCs w:val="28"/>
          <w:lang w:val="en-US" w:eastAsia="zh-CN" w:bidi="ar-SA"/>
        </w:rPr>
        <w:t>矿山为露天开采，根据实地调查，矿山历年开采形成一个长约500m，宽约300m，深约50m的采空区，实测自然坡度角25～40°，开采边坡角约55～65°，局部形成垂直陡坎，历年开采矿层主要为晋宁期花岗岩体（γ21）。矿区内花岗岩属坚硬岩组，结构稳定，岩体较完整。近地表风化较强，深部弱风化-未风化。岩体基本质量等级为Ⅱ-Ⅲ级。采场边坡为花岗岩强风化岩质边坡，呈干燥-稍湿状态，岩石呈强-中风化状，实测开采边坡角约55～65°，边坡稳定性较好，开采过程中不易产生滑坡或大面积的崩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en-US" w:eastAsia="zh-CN" w:bidi="ar-SA"/>
        </w:rPr>
      </w:pPr>
      <w:r>
        <w:rPr>
          <w:rFonts w:hint="eastAsia" w:ascii="宋体" w:hAnsi="宋体" w:eastAsia="宋体" w:cs="宋体"/>
          <w:color w:val="auto"/>
          <w:kern w:val="0"/>
          <w:sz w:val="28"/>
          <w:szCs w:val="28"/>
          <w:lang w:val="en-US" w:eastAsia="zh-CN" w:bidi="ar-SA"/>
        </w:rPr>
        <w:t>根据矿山开采方式及岩体工程地质特征，延续开采后，随着开采规模的加大，采场范围扩大，必将产生新的工作边坡，形成新的采空区，岩体内应力平衡将被打破，使采场边坡坡面和后缘等部位产生应力集中，易在节理裂隙发育的部位产生崩落、掉块等不良地质现象。若开采边坡过陡，采矿作业不规范、组织管理不严、防护措施不当时，在采矿活动及强降雨等作用的影响下，矿山开采工程活动会诱发小规模的斜坡变形、边坡坍塌、边坡后缘张裂、掉块等地质灾害的可能性较大，对矿山安全生产存在一定影响，但规模小、易治理，地质灾害危险性较小。</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en-US" w:eastAsia="zh-CN" w:bidi="ar-SA"/>
        </w:rPr>
      </w:pPr>
      <w:r>
        <w:rPr>
          <w:rFonts w:hint="eastAsia" w:ascii="宋体" w:hAnsi="宋体" w:eastAsia="宋体" w:cs="宋体"/>
          <w:color w:val="auto"/>
          <w:kern w:val="0"/>
          <w:sz w:val="28"/>
          <w:szCs w:val="28"/>
          <w:lang w:val="en-US" w:eastAsia="zh-CN" w:bidi="ar-SA"/>
        </w:rPr>
        <w:t>矿山应按露天采矿的相关规定、规范进行开采，严格控制好开采边坡角，避免交叉作业，加强对采场边坡的监测和管理，及时排除各种安全隐患和地质灾害危险因素，尽可能地减少其对矿山生产构成的威胁，以利于矿山的正常运营。</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en-US" w:eastAsia="zh-CN" w:bidi="ar-SA"/>
        </w:rPr>
      </w:pPr>
      <w:r>
        <w:rPr>
          <w:rFonts w:hint="eastAsia" w:ascii="宋体" w:hAnsi="宋体" w:eastAsia="宋体" w:cs="宋体"/>
          <w:color w:val="auto"/>
          <w:kern w:val="0"/>
          <w:sz w:val="28"/>
          <w:szCs w:val="28"/>
          <w:lang w:val="en-US" w:eastAsia="zh-CN" w:bidi="ar-SA"/>
        </w:rPr>
        <w:t>综上所述，矿区工程地质条件中等。</w:t>
      </w:r>
    </w:p>
    <w:p>
      <w:pPr>
        <w:pStyle w:val="5"/>
        <w:bidi w:val="0"/>
        <w:rPr>
          <w:lang w:eastAsia="zh-CN"/>
        </w:rPr>
      </w:pPr>
      <w:bookmarkStart w:id="143" w:name="_Toc8652"/>
      <w:r>
        <w:rPr>
          <w:rFonts w:hint="eastAsia"/>
          <w:lang w:eastAsia="zh-CN"/>
        </w:rPr>
        <w:t>2.3.5环境地质</w:t>
      </w:r>
      <w:bookmarkEnd w:id="136"/>
      <w:bookmarkEnd w:id="143"/>
    </w:p>
    <w:bookmarkEnd w:id="137"/>
    <w:bookmarkEnd w:id="138"/>
    <w:bookmarkEnd w:id="139"/>
    <w:bookmarkEnd w:id="140"/>
    <w:bookmarkEnd w:id="141"/>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en-US" w:eastAsia="zh-CN" w:bidi="ar-SA"/>
        </w:rPr>
      </w:pPr>
      <w:bookmarkStart w:id="144" w:name="_Toc350324542"/>
      <w:r>
        <w:rPr>
          <w:rFonts w:hint="eastAsia" w:ascii="宋体" w:hAnsi="宋体" w:eastAsia="宋体" w:cs="宋体"/>
          <w:color w:val="auto"/>
          <w:kern w:val="0"/>
          <w:sz w:val="28"/>
          <w:szCs w:val="28"/>
          <w:lang w:val="en-US" w:eastAsia="zh-CN" w:bidi="ar-SA"/>
        </w:rPr>
        <w:t>矿区位于金沙江水系龙川江下游蜻蛉支流谷坡地段，总体地势东高西低，沟谷切割较深，为中山侵蚀地貌。矿区周围最高点海拔标高1187m，最低点为矿区南侧碎石场，海拔标高1054m，相对高差133m。矿区地表植被不发育，以杂草为主，少许人工桉树，采场周围大部分基岩裸露。矿区及附近无地表河流及其他地表水体、泉水。矿区西侧为一较大冲沟，雨季降水沿冲沟泄洪于蜻蛉河。</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en-US" w:eastAsia="zh-CN" w:bidi="ar-SA"/>
        </w:rPr>
      </w:pPr>
      <w:r>
        <w:rPr>
          <w:rFonts w:hint="eastAsia" w:ascii="宋体" w:hAnsi="宋体" w:eastAsia="宋体" w:cs="宋体"/>
          <w:color w:val="auto"/>
          <w:kern w:val="0"/>
          <w:sz w:val="28"/>
          <w:szCs w:val="28"/>
          <w:lang w:val="en-US" w:eastAsia="zh-CN" w:bidi="ar-SA"/>
        </w:rPr>
        <w:t>矿山为露天开采，对地表破坏较大，已形成一定的采空区，开采边坡角55～65°。产生了一定的废渣，堆积在采场南侧和西侧斜坡地带，西侧已经平整为梯地，种植树木，无水土流失现象。矿山开采爆破和石料加工的震动、噪声和粉尘污染对周围环境影响较小。现在矿区地质环境条件保护较好，地质灾害不发育，人类工程活动中等，植被不发育，前期矿山的开采活动对周围环境影响较小。</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en-US" w:eastAsia="zh-CN" w:bidi="ar-SA"/>
        </w:rPr>
      </w:pPr>
      <w:r>
        <w:rPr>
          <w:rFonts w:hint="eastAsia" w:ascii="宋体" w:hAnsi="宋体" w:eastAsia="宋体" w:cs="宋体"/>
          <w:color w:val="auto"/>
          <w:kern w:val="0"/>
          <w:sz w:val="28"/>
          <w:szCs w:val="28"/>
          <w:lang w:val="en-US" w:eastAsia="zh-CN" w:bidi="ar-SA"/>
        </w:rPr>
        <w:t>矿区区域上位于扬子准地台西缘，川滇南北向构造带之元谋台穹构造带北部。由于受断裂褶皱的影响，岩层受力复杂，沿断裂带地震较频繁，震级为2.0~4.4级。根据《建筑抗震设计规范》(GB50011-2016)，本区属抗震设防烈度7度区，地震分组为第二组，设计基本地震加速度值为0.10g，地震动反应谱特征周期0.45s，属于次稳定区，矿区环境地质条件中等。</w:t>
      </w:r>
    </w:p>
    <w:p>
      <w:pPr>
        <w:pStyle w:val="4"/>
        <w:bidi w:val="0"/>
        <w:rPr>
          <w:rFonts w:hint="eastAsia"/>
          <w:lang w:eastAsia="zh-CN"/>
        </w:rPr>
      </w:pPr>
      <w:bookmarkStart w:id="145" w:name="_Toc32651"/>
      <w:r>
        <w:rPr>
          <w:rFonts w:hint="eastAsia"/>
          <w:lang w:eastAsia="zh-CN"/>
        </w:rPr>
        <w:t>2.4</w:t>
      </w:r>
      <w:bookmarkEnd w:id="144"/>
      <w:r>
        <w:rPr>
          <w:rFonts w:hint="eastAsia"/>
          <w:lang w:eastAsia="zh-CN"/>
        </w:rPr>
        <w:t>矿山开采现状</w:t>
      </w:r>
      <w:bookmarkEnd w:id="145"/>
    </w:p>
    <w:p>
      <w:pPr>
        <w:pStyle w:val="5"/>
        <w:bidi w:val="0"/>
        <w:rPr>
          <w:rFonts w:hint="eastAsia"/>
          <w:lang w:eastAsia="zh-CN"/>
        </w:rPr>
      </w:pPr>
      <w:bookmarkStart w:id="146" w:name="_Toc17406"/>
      <w:bookmarkStart w:id="147" w:name="_Toc22589"/>
      <w:r>
        <w:rPr>
          <w:rFonts w:hint="eastAsia"/>
          <w:lang w:eastAsia="zh-CN"/>
        </w:rPr>
        <w:t>2.4.1矿山开采现状</w:t>
      </w:r>
      <w:bookmarkEnd w:id="146"/>
      <w:bookmarkEnd w:id="147"/>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b/>
          <w:bCs/>
          <w:color w:val="auto"/>
          <w:kern w:val="0"/>
          <w:sz w:val="28"/>
          <w:szCs w:val="28"/>
          <w:lang w:val="en-US" w:eastAsia="zh-CN" w:bidi="ar-SA"/>
        </w:rPr>
      </w:pPr>
      <w:r>
        <w:rPr>
          <w:rFonts w:hint="eastAsia" w:ascii="宋体" w:hAnsi="宋体" w:eastAsia="宋体" w:cs="宋体"/>
          <w:b/>
          <w:bCs/>
          <w:color w:val="auto"/>
          <w:kern w:val="0"/>
          <w:sz w:val="28"/>
          <w:szCs w:val="28"/>
          <w:lang w:val="en-US" w:eastAsia="zh-CN" w:bidi="ar-SA"/>
        </w:rPr>
        <w:t>1.露天采场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4"/>
          <w:lang w:val="en-US" w:eastAsia="zh-CN"/>
        </w:rPr>
      </w:pPr>
      <w:r>
        <w:rPr>
          <w:rFonts w:hint="eastAsia" w:ascii="宋体" w:hAnsi="宋体" w:eastAsia="宋体" w:cs="宋体"/>
          <w:sz w:val="28"/>
          <w:szCs w:val="24"/>
        </w:rPr>
        <w:t>现场勘查，</w:t>
      </w:r>
      <w:r>
        <w:rPr>
          <w:rFonts w:hint="eastAsia" w:ascii="宋体" w:hAnsi="宋体" w:eastAsia="宋体" w:cs="宋体"/>
          <w:sz w:val="28"/>
          <w:szCs w:val="24"/>
          <w:lang w:val="en-US" w:eastAsia="zh-CN"/>
        </w:rPr>
        <w:t>矿区西北部形成了3个平台</w:t>
      </w:r>
      <w:r>
        <w:rPr>
          <w:rFonts w:hint="eastAsia" w:ascii="宋体" w:hAnsi="宋体" w:eastAsia="宋体" w:cs="宋体"/>
          <w:sz w:val="28"/>
          <w:szCs w:val="24"/>
          <w:lang w:eastAsia="zh-CN"/>
        </w:rPr>
        <w:t>，</w:t>
      </w:r>
      <w:r>
        <w:rPr>
          <w:rFonts w:hint="eastAsia" w:ascii="宋体" w:hAnsi="宋体" w:eastAsia="宋体" w:cs="宋体"/>
          <w:sz w:val="28"/>
          <w:szCs w:val="24"/>
          <w:lang w:val="en-US" w:eastAsia="zh-CN"/>
        </w:rPr>
        <w:t>各</w:t>
      </w:r>
      <w:r>
        <w:rPr>
          <w:rFonts w:hint="eastAsia" w:ascii="宋体" w:hAnsi="宋体" w:eastAsia="宋体" w:cs="宋体"/>
          <w:sz w:val="28"/>
          <w:szCs w:val="24"/>
        </w:rPr>
        <w:t>平台</w:t>
      </w:r>
      <w:r>
        <w:rPr>
          <w:rFonts w:hint="eastAsia" w:ascii="宋体" w:hAnsi="宋体" w:eastAsia="宋体" w:cs="宋体"/>
          <w:sz w:val="28"/>
          <w:szCs w:val="24"/>
          <w:lang w:val="en-US" w:eastAsia="zh-CN"/>
        </w:rPr>
        <w:t>分别为：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4"/>
          <w:lang w:val="en-GB"/>
        </w:rPr>
      </w:pPr>
      <w:r>
        <w:rPr>
          <w:rFonts w:hint="eastAsia" w:ascii="宋体" w:hAnsi="宋体" w:eastAsia="宋体" w:cs="宋体"/>
          <w:sz w:val="28"/>
          <w:szCs w:val="24"/>
        </w:rPr>
        <w:t>1</w:t>
      </w:r>
      <w:r>
        <w:rPr>
          <w:rFonts w:hint="eastAsia" w:ascii="宋体" w:hAnsi="宋体" w:eastAsia="宋体" w:cs="宋体"/>
          <w:sz w:val="28"/>
          <w:szCs w:val="24"/>
          <w:lang w:val="en-US" w:eastAsia="zh-CN"/>
        </w:rPr>
        <w:t>876</w:t>
      </w:r>
      <w:r>
        <w:rPr>
          <w:rFonts w:hint="eastAsia" w:ascii="宋体" w:hAnsi="宋体" w:eastAsia="宋体" w:cs="宋体"/>
          <w:sz w:val="28"/>
          <w:szCs w:val="24"/>
        </w:rPr>
        <w:t>m平台台阶</w:t>
      </w:r>
      <w:r>
        <w:rPr>
          <w:rFonts w:hint="eastAsia" w:ascii="宋体" w:hAnsi="宋体" w:eastAsia="宋体" w:cs="宋体"/>
          <w:sz w:val="28"/>
          <w:szCs w:val="24"/>
          <w:lang w:val="en-GB"/>
        </w:rPr>
        <w:t>高</w:t>
      </w:r>
      <w:r>
        <w:rPr>
          <w:rFonts w:hint="eastAsia" w:ascii="宋体" w:hAnsi="宋体" w:eastAsia="宋体" w:cs="宋体"/>
          <w:sz w:val="28"/>
          <w:szCs w:val="24"/>
          <w:lang w:val="en-US" w:eastAsia="zh-CN"/>
        </w:rPr>
        <w:t>度</w:t>
      </w:r>
      <w:r>
        <w:rPr>
          <w:rFonts w:hint="eastAsia" w:ascii="宋体" w:hAnsi="宋体" w:eastAsia="宋体" w:cs="宋体"/>
          <w:sz w:val="28"/>
          <w:szCs w:val="24"/>
        </w:rPr>
        <w:t>约</w:t>
      </w:r>
      <w:r>
        <w:rPr>
          <w:rFonts w:hint="eastAsia" w:ascii="宋体" w:hAnsi="宋体" w:eastAsia="宋体" w:cs="宋体"/>
          <w:sz w:val="28"/>
          <w:szCs w:val="24"/>
          <w:lang w:val="en-US" w:eastAsia="zh-CN"/>
        </w:rPr>
        <w:t>4～11</w:t>
      </w:r>
      <w:r>
        <w:rPr>
          <w:rFonts w:hint="eastAsia" w:ascii="宋体" w:hAnsi="宋体" w:eastAsia="宋体" w:cs="宋体"/>
          <w:sz w:val="28"/>
          <w:szCs w:val="24"/>
          <w:lang w:val="en-GB"/>
        </w:rPr>
        <w:t>m</w:t>
      </w:r>
      <w:r>
        <w:rPr>
          <w:rFonts w:hint="eastAsia" w:ascii="宋体" w:hAnsi="宋体" w:eastAsia="宋体" w:cs="宋体"/>
          <w:sz w:val="28"/>
          <w:szCs w:val="24"/>
          <w:lang w:val="en-GB" w:eastAsia="zh-CN"/>
        </w:rPr>
        <w:t>，</w:t>
      </w:r>
      <w:r>
        <w:rPr>
          <w:rFonts w:hint="eastAsia" w:ascii="宋体" w:hAnsi="宋体" w:eastAsia="宋体" w:cs="宋体"/>
          <w:sz w:val="28"/>
          <w:szCs w:val="24"/>
          <w:lang w:val="en-US" w:eastAsia="zh-CN"/>
        </w:rPr>
        <w:t>平台</w:t>
      </w:r>
      <w:r>
        <w:rPr>
          <w:rFonts w:hint="eastAsia" w:ascii="宋体" w:hAnsi="宋体" w:eastAsia="宋体" w:cs="宋体"/>
          <w:sz w:val="28"/>
          <w:szCs w:val="24"/>
          <w:lang w:val="en-GB"/>
        </w:rPr>
        <w:t>宽</w:t>
      </w:r>
      <w:r>
        <w:rPr>
          <w:rFonts w:hint="eastAsia" w:ascii="宋体" w:hAnsi="宋体" w:eastAsia="宋体" w:cs="宋体"/>
          <w:sz w:val="28"/>
          <w:szCs w:val="24"/>
          <w:lang w:val="en-US" w:eastAsia="zh-CN"/>
        </w:rPr>
        <w:t>度约5～7</w:t>
      </w:r>
      <w:r>
        <w:rPr>
          <w:rFonts w:hint="eastAsia" w:ascii="宋体" w:hAnsi="宋体" w:eastAsia="宋体" w:cs="宋体"/>
          <w:sz w:val="28"/>
          <w:szCs w:val="24"/>
          <w:lang w:val="en-GB"/>
        </w:rPr>
        <w:t>m，</w:t>
      </w:r>
      <w:r>
        <w:rPr>
          <w:rFonts w:hint="eastAsia" w:ascii="宋体" w:hAnsi="宋体" w:eastAsia="宋体" w:cs="宋体"/>
          <w:sz w:val="28"/>
          <w:szCs w:val="24"/>
        </w:rPr>
        <w:t>工作线长度约</w:t>
      </w:r>
      <w:r>
        <w:rPr>
          <w:rFonts w:hint="eastAsia" w:ascii="宋体" w:hAnsi="宋体" w:eastAsia="宋体" w:cs="宋体"/>
          <w:sz w:val="28"/>
          <w:szCs w:val="24"/>
          <w:lang w:val="en-US" w:eastAsia="zh-CN"/>
        </w:rPr>
        <w:t>67</w:t>
      </w:r>
      <w:r>
        <w:rPr>
          <w:rFonts w:hint="eastAsia" w:ascii="宋体" w:hAnsi="宋体" w:eastAsia="宋体" w:cs="宋体"/>
          <w:sz w:val="28"/>
          <w:szCs w:val="24"/>
        </w:rPr>
        <w:t>m</w:t>
      </w:r>
      <w:r>
        <w:rPr>
          <w:rFonts w:hint="eastAsia" w:ascii="宋体" w:hAnsi="宋体" w:eastAsia="宋体" w:cs="宋体"/>
          <w:sz w:val="28"/>
          <w:szCs w:val="24"/>
          <w:lang w:eastAsia="zh-CN"/>
        </w:rPr>
        <w:t>，</w:t>
      </w:r>
      <w:r>
        <w:rPr>
          <w:rFonts w:hint="eastAsia" w:ascii="宋体" w:hAnsi="宋体" w:eastAsia="宋体" w:cs="宋体"/>
          <w:sz w:val="28"/>
          <w:szCs w:val="24"/>
          <w:lang w:val="en-GB"/>
        </w:rPr>
        <w:t>台阶坡面角</w:t>
      </w:r>
      <w:r>
        <w:rPr>
          <w:rFonts w:hint="eastAsia" w:ascii="宋体" w:hAnsi="宋体" w:eastAsia="宋体" w:cs="宋体"/>
          <w:sz w:val="28"/>
          <w:szCs w:val="24"/>
        </w:rPr>
        <w:t>约</w:t>
      </w:r>
      <w:r>
        <w:rPr>
          <w:rFonts w:hint="eastAsia" w:ascii="宋体" w:hAnsi="宋体" w:eastAsia="宋体" w:cs="宋体"/>
          <w:sz w:val="28"/>
          <w:szCs w:val="24"/>
          <w:lang w:val="en-US" w:eastAsia="zh-CN"/>
        </w:rPr>
        <w:t>45～55</w:t>
      </w:r>
      <w:r>
        <w:rPr>
          <w:rFonts w:hint="eastAsia" w:ascii="宋体" w:hAnsi="宋体" w:eastAsia="宋体" w:cs="宋体"/>
          <w:sz w:val="28"/>
          <w:szCs w:val="24"/>
          <w:lang w:val="en-GB"/>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4"/>
          <w:lang w:val="en-GB"/>
        </w:rPr>
      </w:pPr>
      <w:r>
        <w:rPr>
          <w:rFonts w:hint="eastAsia" w:ascii="宋体" w:hAnsi="宋体" w:eastAsia="宋体" w:cs="宋体"/>
          <w:sz w:val="28"/>
          <w:szCs w:val="24"/>
          <w:lang w:val="en-US" w:eastAsia="zh-CN"/>
        </w:rPr>
        <w:t>1867m平台</w:t>
      </w:r>
      <w:r>
        <w:rPr>
          <w:rFonts w:hint="eastAsia" w:ascii="宋体" w:hAnsi="宋体" w:eastAsia="宋体" w:cs="宋体"/>
          <w:sz w:val="28"/>
          <w:szCs w:val="24"/>
        </w:rPr>
        <w:t>台阶</w:t>
      </w:r>
      <w:r>
        <w:rPr>
          <w:rFonts w:hint="eastAsia" w:ascii="宋体" w:hAnsi="宋体" w:eastAsia="宋体" w:cs="宋体"/>
          <w:sz w:val="28"/>
          <w:szCs w:val="24"/>
          <w:lang w:val="en-GB"/>
        </w:rPr>
        <w:t>高</w:t>
      </w:r>
      <w:r>
        <w:rPr>
          <w:rFonts w:hint="eastAsia" w:ascii="宋体" w:hAnsi="宋体" w:eastAsia="宋体" w:cs="宋体"/>
          <w:sz w:val="28"/>
          <w:szCs w:val="24"/>
          <w:lang w:val="en-US" w:eastAsia="zh-CN"/>
        </w:rPr>
        <w:t>度</w:t>
      </w:r>
      <w:r>
        <w:rPr>
          <w:rFonts w:hint="eastAsia" w:ascii="宋体" w:hAnsi="宋体" w:eastAsia="宋体" w:cs="宋体"/>
          <w:sz w:val="28"/>
          <w:szCs w:val="24"/>
        </w:rPr>
        <w:t>约</w:t>
      </w:r>
      <w:r>
        <w:rPr>
          <w:rFonts w:hint="eastAsia" w:ascii="宋体" w:hAnsi="宋体" w:eastAsia="宋体" w:cs="宋体"/>
          <w:sz w:val="28"/>
          <w:szCs w:val="24"/>
          <w:lang w:val="en-US" w:eastAsia="zh-CN"/>
        </w:rPr>
        <w:t>9</w:t>
      </w:r>
      <w:r>
        <w:rPr>
          <w:rFonts w:hint="eastAsia" w:ascii="宋体" w:hAnsi="宋体" w:eastAsia="宋体" w:cs="宋体"/>
          <w:sz w:val="28"/>
          <w:szCs w:val="24"/>
          <w:lang w:val="en-GB"/>
        </w:rPr>
        <w:t>m</w:t>
      </w:r>
      <w:r>
        <w:rPr>
          <w:rFonts w:hint="eastAsia" w:ascii="宋体" w:hAnsi="宋体" w:eastAsia="宋体" w:cs="宋体"/>
          <w:sz w:val="28"/>
          <w:szCs w:val="24"/>
          <w:lang w:val="en-US" w:eastAsia="zh-CN"/>
        </w:rPr>
        <w:t>，平台</w:t>
      </w:r>
      <w:r>
        <w:rPr>
          <w:rFonts w:hint="eastAsia" w:ascii="宋体" w:hAnsi="宋体" w:eastAsia="宋体" w:cs="宋体"/>
          <w:sz w:val="28"/>
          <w:szCs w:val="24"/>
          <w:lang w:val="en-GB"/>
        </w:rPr>
        <w:t>宽</w:t>
      </w:r>
      <w:r>
        <w:rPr>
          <w:rFonts w:hint="eastAsia" w:ascii="宋体" w:hAnsi="宋体" w:eastAsia="宋体" w:cs="宋体"/>
          <w:sz w:val="28"/>
          <w:szCs w:val="24"/>
          <w:lang w:val="en-US" w:eastAsia="zh-CN"/>
        </w:rPr>
        <w:t>度</w:t>
      </w:r>
      <w:r>
        <w:rPr>
          <w:rFonts w:hint="eastAsia" w:ascii="宋体" w:hAnsi="宋体" w:eastAsia="宋体" w:cs="宋体"/>
          <w:sz w:val="28"/>
          <w:szCs w:val="24"/>
        </w:rPr>
        <w:t>约</w:t>
      </w:r>
      <w:r>
        <w:rPr>
          <w:rFonts w:hint="eastAsia" w:ascii="宋体" w:hAnsi="宋体" w:eastAsia="宋体" w:cs="宋体"/>
          <w:sz w:val="28"/>
          <w:szCs w:val="24"/>
          <w:lang w:val="en-US" w:eastAsia="zh-CN"/>
        </w:rPr>
        <w:t>4～6</w:t>
      </w:r>
      <w:r>
        <w:rPr>
          <w:rFonts w:hint="eastAsia" w:ascii="宋体" w:hAnsi="宋体" w:eastAsia="宋体" w:cs="宋体"/>
          <w:sz w:val="28"/>
          <w:szCs w:val="24"/>
          <w:lang w:val="en-GB"/>
        </w:rPr>
        <w:t>m，</w:t>
      </w:r>
      <w:r>
        <w:rPr>
          <w:rFonts w:hint="eastAsia" w:ascii="宋体" w:hAnsi="宋体" w:eastAsia="宋体" w:cs="宋体"/>
          <w:sz w:val="28"/>
          <w:szCs w:val="24"/>
        </w:rPr>
        <w:t>工作线长度约</w:t>
      </w:r>
      <w:r>
        <w:rPr>
          <w:rFonts w:hint="eastAsia" w:ascii="宋体" w:hAnsi="宋体" w:eastAsia="宋体" w:cs="宋体"/>
          <w:sz w:val="28"/>
          <w:szCs w:val="24"/>
          <w:lang w:val="en-US" w:eastAsia="zh-CN"/>
        </w:rPr>
        <w:t>85</w:t>
      </w:r>
      <w:r>
        <w:rPr>
          <w:rFonts w:hint="eastAsia" w:ascii="宋体" w:hAnsi="宋体" w:eastAsia="宋体" w:cs="宋体"/>
          <w:sz w:val="28"/>
          <w:szCs w:val="24"/>
        </w:rPr>
        <w:t>m</w:t>
      </w:r>
      <w:r>
        <w:rPr>
          <w:rFonts w:hint="eastAsia" w:ascii="宋体" w:hAnsi="宋体" w:eastAsia="宋体" w:cs="宋体"/>
          <w:sz w:val="28"/>
          <w:szCs w:val="24"/>
          <w:lang w:val="en-GB"/>
        </w:rPr>
        <w:t>，台阶坡面角</w:t>
      </w:r>
      <w:r>
        <w:rPr>
          <w:rFonts w:hint="eastAsia" w:ascii="宋体" w:hAnsi="宋体" w:eastAsia="宋体" w:cs="宋体"/>
          <w:sz w:val="28"/>
          <w:szCs w:val="24"/>
          <w:lang w:val="en-US" w:eastAsia="zh-CN"/>
        </w:rPr>
        <w:t>46～60</w:t>
      </w:r>
      <w:r>
        <w:rPr>
          <w:rFonts w:hint="eastAsia" w:ascii="宋体" w:hAnsi="宋体" w:eastAsia="宋体" w:cs="宋体"/>
          <w:sz w:val="28"/>
          <w:szCs w:val="24"/>
          <w:lang w:val="en-GB"/>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4"/>
          <w:lang w:val="en-GB"/>
        </w:rPr>
      </w:pPr>
      <w:r>
        <w:rPr>
          <w:rFonts w:hint="eastAsia" w:ascii="宋体" w:hAnsi="宋体" w:eastAsia="宋体" w:cs="宋体"/>
          <w:sz w:val="28"/>
          <w:szCs w:val="24"/>
          <w:lang w:val="en-US" w:eastAsia="zh-CN"/>
        </w:rPr>
        <w:t>1858m平台</w:t>
      </w:r>
      <w:r>
        <w:rPr>
          <w:rFonts w:hint="eastAsia" w:ascii="宋体" w:hAnsi="宋体" w:eastAsia="宋体" w:cs="宋体"/>
          <w:sz w:val="28"/>
          <w:szCs w:val="24"/>
        </w:rPr>
        <w:t>台阶</w:t>
      </w:r>
      <w:r>
        <w:rPr>
          <w:rFonts w:hint="eastAsia" w:ascii="宋体" w:hAnsi="宋体" w:eastAsia="宋体" w:cs="宋体"/>
          <w:sz w:val="28"/>
          <w:szCs w:val="24"/>
          <w:lang w:val="en-GB"/>
        </w:rPr>
        <w:t>高</w:t>
      </w:r>
      <w:r>
        <w:rPr>
          <w:rFonts w:hint="eastAsia" w:ascii="宋体" w:hAnsi="宋体" w:eastAsia="宋体" w:cs="宋体"/>
          <w:sz w:val="28"/>
          <w:szCs w:val="24"/>
          <w:lang w:val="en-US" w:eastAsia="zh-CN"/>
        </w:rPr>
        <w:t>度</w:t>
      </w:r>
      <w:r>
        <w:rPr>
          <w:rFonts w:hint="eastAsia" w:ascii="宋体" w:hAnsi="宋体" w:eastAsia="宋体" w:cs="宋体"/>
          <w:sz w:val="28"/>
          <w:szCs w:val="24"/>
        </w:rPr>
        <w:t>约</w:t>
      </w:r>
      <w:r>
        <w:rPr>
          <w:rFonts w:hint="eastAsia" w:ascii="宋体" w:hAnsi="宋体" w:eastAsia="宋体" w:cs="宋体"/>
          <w:sz w:val="28"/>
          <w:szCs w:val="24"/>
          <w:lang w:val="en-US" w:eastAsia="zh-CN"/>
        </w:rPr>
        <w:t>9</w:t>
      </w:r>
      <w:r>
        <w:rPr>
          <w:rFonts w:hint="eastAsia" w:ascii="宋体" w:hAnsi="宋体" w:eastAsia="宋体" w:cs="宋体"/>
          <w:sz w:val="28"/>
          <w:szCs w:val="24"/>
          <w:lang w:val="en-GB"/>
        </w:rPr>
        <w:t>m</w:t>
      </w:r>
      <w:r>
        <w:rPr>
          <w:rFonts w:hint="eastAsia" w:ascii="宋体" w:hAnsi="宋体" w:eastAsia="宋体" w:cs="宋体"/>
          <w:sz w:val="28"/>
          <w:szCs w:val="24"/>
          <w:lang w:val="en-US" w:eastAsia="zh-CN"/>
        </w:rPr>
        <w:t>，</w:t>
      </w:r>
      <w:r>
        <w:rPr>
          <w:rFonts w:hint="eastAsia" w:ascii="宋体" w:hAnsi="宋体" w:eastAsia="宋体" w:cs="宋体"/>
          <w:sz w:val="28"/>
          <w:szCs w:val="24"/>
          <w:lang w:val="en-GB"/>
        </w:rPr>
        <w:t>台阶坡面角</w:t>
      </w:r>
      <w:r>
        <w:rPr>
          <w:rFonts w:hint="eastAsia" w:ascii="宋体" w:hAnsi="宋体" w:eastAsia="宋体" w:cs="宋体"/>
          <w:sz w:val="28"/>
          <w:szCs w:val="24"/>
          <w:lang w:val="en-US" w:eastAsia="zh-CN"/>
        </w:rPr>
        <w:t>40～55</w:t>
      </w:r>
      <w:r>
        <w:rPr>
          <w:rFonts w:hint="eastAsia" w:ascii="宋体" w:hAnsi="宋体" w:eastAsia="宋体" w:cs="宋体"/>
          <w:sz w:val="28"/>
          <w:szCs w:val="24"/>
          <w:lang w:val="en-GB"/>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4"/>
        </w:rPr>
      </w:pPr>
      <w:r>
        <w:rPr>
          <w:rFonts w:hint="eastAsia" w:ascii="宋体" w:hAnsi="宋体" w:eastAsia="宋体" w:cs="宋体"/>
          <w:sz w:val="28"/>
          <w:szCs w:val="24"/>
        </w:rPr>
        <w:t>采场</w:t>
      </w:r>
      <w:r>
        <w:rPr>
          <w:rFonts w:hint="eastAsia" w:ascii="宋体" w:hAnsi="宋体" w:eastAsia="宋体" w:cs="宋体"/>
          <w:sz w:val="28"/>
          <w:szCs w:val="24"/>
          <w:lang w:val="en-US" w:eastAsia="zh-CN"/>
        </w:rPr>
        <w:t>东北部</w:t>
      </w:r>
      <w:r>
        <w:rPr>
          <w:rFonts w:hint="eastAsia" w:ascii="宋体" w:hAnsi="宋体" w:eastAsia="宋体" w:cs="宋体"/>
          <w:sz w:val="28"/>
          <w:szCs w:val="24"/>
        </w:rPr>
        <w:t>自上而下形成了</w:t>
      </w:r>
      <w:r>
        <w:rPr>
          <w:rFonts w:hint="eastAsia" w:ascii="宋体" w:hAnsi="宋体" w:eastAsia="宋体" w:cs="宋体"/>
          <w:sz w:val="28"/>
          <w:szCs w:val="24"/>
          <w:lang w:val="en-US" w:eastAsia="zh-CN"/>
        </w:rPr>
        <w:t>5</w:t>
      </w:r>
      <w:r>
        <w:rPr>
          <w:rFonts w:hint="eastAsia" w:ascii="宋体" w:hAnsi="宋体" w:eastAsia="宋体" w:cs="宋体"/>
          <w:sz w:val="28"/>
          <w:szCs w:val="24"/>
        </w:rPr>
        <w:t>个</w:t>
      </w:r>
      <w:r>
        <w:rPr>
          <w:rFonts w:hint="eastAsia" w:ascii="宋体" w:hAnsi="宋体" w:eastAsia="宋体" w:cs="宋体"/>
          <w:sz w:val="28"/>
          <w:szCs w:val="24"/>
          <w:lang w:val="en-US" w:eastAsia="zh-CN"/>
        </w:rPr>
        <w:t>平台</w:t>
      </w:r>
      <w:r>
        <w:rPr>
          <w:rFonts w:hint="eastAsia" w:ascii="宋体" w:hAnsi="宋体" w:eastAsia="宋体" w:cs="宋体"/>
          <w:sz w:val="28"/>
          <w:szCs w:val="24"/>
        </w:rPr>
        <w:t>，分别为：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4"/>
          <w:lang w:val="en-GB"/>
        </w:rPr>
      </w:pPr>
      <w:r>
        <w:rPr>
          <w:rFonts w:hint="eastAsia" w:ascii="宋体" w:hAnsi="宋体" w:eastAsia="宋体" w:cs="宋体"/>
          <w:sz w:val="28"/>
          <w:szCs w:val="24"/>
        </w:rPr>
        <w:t>1</w:t>
      </w:r>
      <w:r>
        <w:rPr>
          <w:rFonts w:hint="eastAsia" w:ascii="宋体" w:hAnsi="宋体" w:eastAsia="宋体" w:cs="宋体"/>
          <w:sz w:val="28"/>
          <w:szCs w:val="24"/>
          <w:lang w:val="en-US" w:eastAsia="zh-CN"/>
        </w:rPr>
        <w:t>880</w:t>
      </w:r>
      <w:r>
        <w:rPr>
          <w:rFonts w:hint="eastAsia" w:ascii="宋体" w:hAnsi="宋体" w:eastAsia="宋体" w:cs="宋体"/>
          <w:sz w:val="28"/>
          <w:szCs w:val="24"/>
        </w:rPr>
        <w:t>m平台台阶</w:t>
      </w:r>
      <w:r>
        <w:rPr>
          <w:rFonts w:hint="eastAsia" w:ascii="宋体" w:hAnsi="宋体" w:eastAsia="宋体" w:cs="宋体"/>
          <w:sz w:val="28"/>
          <w:szCs w:val="24"/>
          <w:lang w:val="en-GB"/>
        </w:rPr>
        <w:t>高</w:t>
      </w:r>
      <w:r>
        <w:rPr>
          <w:rFonts w:hint="eastAsia" w:ascii="宋体" w:hAnsi="宋体" w:eastAsia="宋体" w:cs="宋体"/>
          <w:sz w:val="28"/>
          <w:szCs w:val="24"/>
          <w:lang w:val="en-US" w:eastAsia="zh-CN"/>
        </w:rPr>
        <w:t>度</w:t>
      </w:r>
      <w:r>
        <w:rPr>
          <w:rFonts w:hint="eastAsia" w:ascii="宋体" w:hAnsi="宋体" w:eastAsia="宋体" w:cs="宋体"/>
          <w:sz w:val="28"/>
          <w:szCs w:val="24"/>
        </w:rPr>
        <w:t>约</w:t>
      </w:r>
      <w:r>
        <w:rPr>
          <w:rFonts w:hint="eastAsia" w:ascii="宋体" w:hAnsi="宋体" w:eastAsia="宋体" w:cs="宋体"/>
          <w:sz w:val="28"/>
          <w:szCs w:val="24"/>
          <w:lang w:val="en-US" w:eastAsia="zh-CN"/>
        </w:rPr>
        <w:t>3～10m</w:t>
      </w:r>
      <w:r>
        <w:rPr>
          <w:rFonts w:hint="eastAsia" w:ascii="宋体" w:hAnsi="宋体" w:eastAsia="宋体" w:cs="宋体"/>
          <w:sz w:val="28"/>
          <w:szCs w:val="24"/>
          <w:lang w:eastAsia="zh-CN"/>
        </w:rPr>
        <w:t>，</w:t>
      </w:r>
      <w:r>
        <w:rPr>
          <w:rFonts w:hint="eastAsia" w:ascii="宋体" w:hAnsi="宋体" w:eastAsia="宋体" w:cs="宋体"/>
          <w:sz w:val="28"/>
          <w:szCs w:val="24"/>
        </w:rPr>
        <w:t>平台</w:t>
      </w:r>
      <w:r>
        <w:rPr>
          <w:rFonts w:hint="eastAsia" w:ascii="宋体" w:hAnsi="宋体" w:eastAsia="宋体" w:cs="宋体"/>
          <w:sz w:val="28"/>
          <w:szCs w:val="24"/>
          <w:lang w:val="en-GB"/>
        </w:rPr>
        <w:t>宽</w:t>
      </w:r>
      <w:r>
        <w:rPr>
          <w:rFonts w:hint="eastAsia" w:ascii="宋体" w:hAnsi="宋体" w:eastAsia="宋体" w:cs="宋体"/>
          <w:sz w:val="28"/>
          <w:szCs w:val="24"/>
          <w:lang w:val="en-US" w:eastAsia="zh-CN"/>
        </w:rPr>
        <w:t>度约3～6</w:t>
      </w:r>
      <w:r>
        <w:rPr>
          <w:rFonts w:hint="eastAsia" w:ascii="宋体" w:hAnsi="宋体" w:eastAsia="宋体" w:cs="宋体"/>
          <w:sz w:val="28"/>
          <w:szCs w:val="24"/>
          <w:lang w:val="en-GB"/>
        </w:rPr>
        <w:t>m，</w:t>
      </w:r>
      <w:r>
        <w:rPr>
          <w:rFonts w:hint="eastAsia" w:ascii="宋体" w:hAnsi="宋体" w:eastAsia="宋体" w:cs="宋体"/>
          <w:sz w:val="28"/>
          <w:szCs w:val="24"/>
        </w:rPr>
        <w:t>工作线长度约</w:t>
      </w:r>
      <w:r>
        <w:rPr>
          <w:rFonts w:hint="eastAsia" w:ascii="宋体" w:hAnsi="宋体" w:eastAsia="宋体" w:cs="宋体"/>
          <w:sz w:val="28"/>
          <w:szCs w:val="24"/>
          <w:lang w:val="en-US" w:eastAsia="zh-CN"/>
        </w:rPr>
        <w:t>140</w:t>
      </w:r>
      <w:r>
        <w:rPr>
          <w:rFonts w:hint="eastAsia" w:ascii="宋体" w:hAnsi="宋体" w:eastAsia="宋体" w:cs="宋体"/>
          <w:sz w:val="28"/>
          <w:szCs w:val="24"/>
        </w:rPr>
        <w:t>m，</w:t>
      </w:r>
      <w:r>
        <w:rPr>
          <w:rFonts w:hint="eastAsia" w:ascii="宋体" w:hAnsi="宋体" w:eastAsia="宋体" w:cs="宋体"/>
          <w:sz w:val="28"/>
          <w:szCs w:val="24"/>
          <w:lang w:val="en-GB"/>
        </w:rPr>
        <w:t>台阶坡面角</w:t>
      </w:r>
      <w:r>
        <w:rPr>
          <w:rFonts w:hint="eastAsia" w:ascii="宋体" w:hAnsi="宋体" w:eastAsia="宋体" w:cs="宋体"/>
          <w:sz w:val="28"/>
          <w:szCs w:val="24"/>
        </w:rPr>
        <w:t>约</w:t>
      </w:r>
      <w:r>
        <w:rPr>
          <w:rFonts w:hint="eastAsia" w:ascii="宋体" w:hAnsi="宋体" w:eastAsia="宋体" w:cs="宋体"/>
          <w:sz w:val="28"/>
          <w:szCs w:val="24"/>
          <w:lang w:val="en-US" w:eastAsia="zh-CN"/>
        </w:rPr>
        <w:t>45～55</w:t>
      </w:r>
      <w:r>
        <w:rPr>
          <w:rFonts w:hint="eastAsia" w:ascii="宋体" w:hAnsi="宋体" w:eastAsia="宋体" w:cs="宋体"/>
          <w:sz w:val="28"/>
          <w:szCs w:val="24"/>
          <w:lang w:val="en-GB"/>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4"/>
          <w:lang w:val="en-GB"/>
        </w:rPr>
      </w:pPr>
      <w:r>
        <w:rPr>
          <w:rFonts w:hint="eastAsia" w:ascii="宋体" w:hAnsi="宋体" w:eastAsia="宋体" w:cs="宋体"/>
          <w:sz w:val="28"/>
          <w:szCs w:val="24"/>
        </w:rPr>
        <w:t>1</w:t>
      </w:r>
      <w:r>
        <w:rPr>
          <w:rFonts w:hint="eastAsia" w:ascii="宋体" w:hAnsi="宋体" w:eastAsia="宋体" w:cs="宋体"/>
          <w:sz w:val="28"/>
          <w:szCs w:val="24"/>
          <w:lang w:val="en-US" w:eastAsia="zh-CN"/>
        </w:rPr>
        <w:t>874</w:t>
      </w:r>
      <w:r>
        <w:rPr>
          <w:rFonts w:hint="eastAsia" w:ascii="宋体" w:hAnsi="宋体" w:eastAsia="宋体" w:cs="宋体"/>
          <w:sz w:val="28"/>
          <w:szCs w:val="24"/>
          <w:lang w:val="en-GB"/>
        </w:rPr>
        <w:t>m</w:t>
      </w:r>
      <w:r>
        <w:rPr>
          <w:rFonts w:hint="eastAsia" w:ascii="宋体" w:hAnsi="宋体" w:eastAsia="宋体" w:cs="宋体"/>
          <w:sz w:val="28"/>
          <w:szCs w:val="24"/>
          <w:lang w:val="en-US" w:eastAsia="zh-CN"/>
        </w:rPr>
        <w:t>运输</w:t>
      </w:r>
      <w:r>
        <w:rPr>
          <w:rFonts w:hint="eastAsia" w:ascii="宋体" w:hAnsi="宋体" w:eastAsia="宋体" w:cs="宋体"/>
          <w:sz w:val="28"/>
          <w:szCs w:val="24"/>
          <w:lang w:val="en-GB"/>
        </w:rPr>
        <w:t>平台</w:t>
      </w:r>
      <w:r>
        <w:rPr>
          <w:rFonts w:hint="eastAsia" w:ascii="宋体" w:hAnsi="宋体" w:eastAsia="宋体" w:cs="宋体"/>
          <w:sz w:val="28"/>
          <w:szCs w:val="24"/>
        </w:rPr>
        <w:t>台阶</w:t>
      </w:r>
      <w:r>
        <w:rPr>
          <w:rFonts w:hint="eastAsia" w:ascii="宋体" w:hAnsi="宋体" w:eastAsia="宋体" w:cs="宋体"/>
          <w:sz w:val="28"/>
          <w:szCs w:val="24"/>
          <w:lang w:val="en-GB"/>
        </w:rPr>
        <w:t>高</w:t>
      </w:r>
      <w:r>
        <w:rPr>
          <w:rFonts w:hint="eastAsia" w:ascii="宋体" w:hAnsi="宋体" w:eastAsia="宋体" w:cs="宋体"/>
          <w:sz w:val="28"/>
          <w:szCs w:val="24"/>
          <w:lang w:val="en-US" w:eastAsia="zh-CN"/>
        </w:rPr>
        <w:t>度</w:t>
      </w:r>
      <w:r>
        <w:rPr>
          <w:rFonts w:hint="eastAsia" w:ascii="宋体" w:hAnsi="宋体" w:eastAsia="宋体" w:cs="宋体"/>
          <w:sz w:val="28"/>
          <w:szCs w:val="24"/>
        </w:rPr>
        <w:t>约</w:t>
      </w:r>
      <w:r>
        <w:rPr>
          <w:rFonts w:hint="eastAsia" w:ascii="宋体" w:hAnsi="宋体" w:eastAsia="宋体" w:cs="宋体"/>
          <w:sz w:val="28"/>
          <w:szCs w:val="24"/>
          <w:lang w:val="en-US" w:eastAsia="zh-CN"/>
        </w:rPr>
        <w:t>2～3m</w:t>
      </w:r>
      <w:r>
        <w:rPr>
          <w:rFonts w:hint="eastAsia" w:ascii="宋体" w:hAnsi="宋体" w:eastAsia="宋体" w:cs="宋体"/>
          <w:sz w:val="28"/>
          <w:szCs w:val="24"/>
          <w:lang w:eastAsia="zh-CN"/>
        </w:rPr>
        <w:t>，</w:t>
      </w:r>
      <w:r>
        <w:rPr>
          <w:rFonts w:hint="eastAsia" w:ascii="宋体" w:hAnsi="宋体" w:eastAsia="宋体" w:cs="宋体"/>
          <w:sz w:val="28"/>
          <w:szCs w:val="24"/>
        </w:rPr>
        <w:t>平台</w:t>
      </w:r>
      <w:r>
        <w:rPr>
          <w:rFonts w:hint="eastAsia" w:ascii="宋体" w:hAnsi="宋体" w:eastAsia="宋体" w:cs="宋体"/>
          <w:sz w:val="28"/>
          <w:szCs w:val="24"/>
          <w:lang w:val="en-GB"/>
        </w:rPr>
        <w:t>宽</w:t>
      </w:r>
      <w:r>
        <w:rPr>
          <w:rFonts w:hint="eastAsia" w:ascii="宋体" w:hAnsi="宋体" w:eastAsia="宋体" w:cs="宋体"/>
          <w:sz w:val="28"/>
          <w:szCs w:val="24"/>
          <w:lang w:val="en-US" w:eastAsia="zh-CN"/>
        </w:rPr>
        <w:t>度约3～5</w:t>
      </w:r>
      <w:r>
        <w:rPr>
          <w:rFonts w:hint="eastAsia" w:ascii="宋体" w:hAnsi="宋体" w:eastAsia="宋体" w:cs="宋体"/>
          <w:sz w:val="28"/>
          <w:szCs w:val="24"/>
          <w:lang w:val="en-GB"/>
        </w:rPr>
        <w:t>m，</w:t>
      </w:r>
      <w:r>
        <w:rPr>
          <w:rFonts w:hint="eastAsia" w:ascii="宋体" w:hAnsi="宋体" w:eastAsia="宋体" w:cs="宋体"/>
          <w:sz w:val="28"/>
          <w:szCs w:val="24"/>
        </w:rPr>
        <w:t>工作线长度约</w:t>
      </w:r>
      <w:r>
        <w:rPr>
          <w:rFonts w:hint="eastAsia" w:ascii="宋体" w:hAnsi="宋体" w:eastAsia="宋体" w:cs="宋体"/>
          <w:sz w:val="28"/>
          <w:szCs w:val="24"/>
          <w:lang w:val="en-US" w:eastAsia="zh-CN"/>
        </w:rPr>
        <w:t>157</w:t>
      </w:r>
      <w:r>
        <w:rPr>
          <w:rFonts w:hint="eastAsia" w:ascii="宋体" w:hAnsi="宋体" w:eastAsia="宋体" w:cs="宋体"/>
          <w:sz w:val="28"/>
          <w:szCs w:val="24"/>
        </w:rPr>
        <w:t>m，</w:t>
      </w:r>
      <w:r>
        <w:rPr>
          <w:rFonts w:hint="eastAsia" w:ascii="宋体" w:hAnsi="宋体" w:eastAsia="宋体" w:cs="宋体"/>
          <w:sz w:val="28"/>
          <w:szCs w:val="24"/>
          <w:lang w:val="en-GB"/>
        </w:rPr>
        <w:t>台阶坡面角</w:t>
      </w:r>
      <w:r>
        <w:rPr>
          <w:rFonts w:hint="eastAsia" w:ascii="宋体" w:hAnsi="宋体" w:eastAsia="宋体" w:cs="宋体"/>
          <w:sz w:val="28"/>
          <w:szCs w:val="24"/>
        </w:rPr>
        <w:t>约</w:t>
      </w:r>
      <w:r>
        <w:rPr>
          <w:rFonts w:hint="eastAsia" w:ascii="宋体" w:hAnsi="宋体" w:eastAsia="宋体" w:cs="宋体"/>
          <w:sz w:val="28"/>
          <w:szCs w:val="24"/>
          <w:lang w:val="en-US" w:eastAsia="zh-CN"/>
        </w:rPr>
        <w:t>50～65</w:t>
      </w:r>
      <w:r>
        <w:rPr>
          <w:rFonts w:hint="eastAsia" w:ascii="宋体" w:hAnsi="宋体" w:eastAsia="宋体" w:cs="宋体"/>
          <w:sz w:val="28"/>
          <w:szCs w:val="24"/>
          <w:lang w:val="en-GB"/>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4"/>
          <w:lang w:val="en-GB"/>
        </w:rPr>
      </w:pPr>
      <w:r>
        <w:rPr>
          <w:rFonts w:hint="eastAsia" w:ascii="宋体" w:hAnsi="宋体" w:eastAsia="宋体" w:cs="宋体"/>
          <w:sz w:val="28"/>
          <w:szCs w:val="24"/>
        </w:rPr>
        <w:t>1</w:t>
      </w:r>
      <w:r>
        <w:rPr>
          <w:rFonts w:hint="eastAsia" w:ascii="宋体" w:hAnsi="宋体" w:eastAsia="宋体" w:cs="宋体"/>
          <w:sz w:val="28"/>
          <w:szCs w:val="24"/>
          <w:lang w:val="en-US" w:eastAsia="zh-CN"/>
        </w:rPr>
        <w:t>867</w:t>
      </w:r>
      <w:r>
        <w:rPr>
          <w:rFonts w:hint="eastAsia" w:ascii="宋体" w:hAnsi="宋体" w:eastAsia="宋体" w:cs="宋体"/>
          <w:sz w:val="28"/>
          <w:szCs w:val="24"/>
          <w:lang w:val="en-GB"/>
        </w:rPr>
        <w:t>m</w:t>
      </w:r>
      <w:r>
        <w:rPr>
          <w:rFonts w:hint="eastAsia" w:ascii="宋体" w:hAnsi="宋体" w:eastAsia="宋体" w:cs="宋体"/>
          <w:sz w:val="28"/>
          <w:szCs w:val="24"/>
          <w:lang w:val="en-US" w:eastAsia="zh-CN"/>
        </w:rPr>
        <w:t>运输</w:t>
      </w:r>
      <w:r>
        <w:rPr>
          <w:rFonts w:hint="eastAsia" w:ascii="宋体" w:hAnsi="宋体" w:eastAsia="宋体" w:cs="宋体"/>
          <w:sz w:val="28"/>
          <w:szCs w:val="24"/>
          <w:lang w:val="en-GB"/>
        </w:rPr>
        <w:t>平台</w:t>
      </w:r>
      <w:r>
        <w:rPr>
          <w:rFonts w:hint="eastAsia" w:ascii="宋体" w:hAnsi="宋体" w:eastAsia="宋体" w:cs="宋体"/>
          <w:sz w:val="28"/>
          <w:szCs w:val="24"/>
        </w:rPr>
        <w:t>台阶</w:t>
      </w:r>
      <w:r>
        <w:rPr>
          <w:rFonts w:hint="eastAsia" w:ascii="宋体" w:hAnsi="宋体" w:eastAsia="宋体" w:cs="宋体"/>
          <w:sz w:val="28"/>
          <w:szCs w:val="24"/>
          <w:lang w:val="en-GB"/>
        </w:rPr>
        <w:t>高</w:t>
      </w:r>
      <w:r>
        <w:rPr>
          <w:rFonts w:hint="eastAsia" w:ascii="宋体" w:hAnsi="宋体" w:eastAsia="宋体" w:cs="宋体"/>
          <w:sz w:val="28"/>
          <w:szCs w:val="24"/>
          <w:lang w:val="en-US" w:eastAsia="zh-CN"/>
        </w:rPr>
        <w:t>度</w:t>
      </w:r>
      <w:r>
        <w:rPr>
          <w:rFonts w:hint="eastAsia" w:ascii="宋体" w:hAnsi="宋体" w:eastAsia="宋体" w:cs="宋体"/>
          <w:sz w:val="28"/>
          <w:szCs w:val="24"/>
        </w:rPr>
        <w:t>约</w:t>
      </w:r>
      <w:r>
        <w:rPr>
          <w:rFonts w:hint="eastAsia" w:ascii="宋体" w:hAnsi="宋体" w:eastAsia="宋体" w:cs="宋体"/>
          <w:sz w:val="28"/>
          <w:szCs w:val="24"/>
          <w:lang w:val="en-US" w:eastAsia="zh-CN"/>
        </w:rPr>
        <w:t>5～8m</w:t>
      </w:r>
      <w:r>
        <w:rPr>
          <w:rFonts w:hint="eastAsia" w:ascii="宋体" w:hAnsi="宋体" w:eastAsia="宋体" w:cs="宋体"/>
          <w:sz w:val="28"/>
          <w:szCs w:val="24"/>
          <w:lang w:eastAsia="zh-CN"/>
        </w:rPr>
        <w:t>，</w:t>
      </w:r>
      <w:r>
        <w:rPr>
          <w:rFonts w:hint="eastAsia" w:ascii="宋体" w:hAnsi="宋体" w:eastAsia="宋体" w:cs="宋体"/>
          <w:sz w:val="28"/>
          <w:szCs w:val="24"/>
        </w:rPr>
        <w:t>平台</w:t>
      </w:r>
      <w:r>
        <w:rPr>
          <w:rFonts w:hint="eastAsia" w:ascii="宋体" w:hAnsi="宋体" w:eastAsia="宋体" w:cs="宋体"/>
          <w:sz w:val="28"/>
          <w:szCs w:val="24"/>
          <w:lang w:val="en-GB"/>
        </w:rPr>
        <w:t>宽</w:t>
      </w:r>
      <w:r>
        <w:rPr>
          <w:rFonts w:hint="eastAsia" w:ascii="宋体" w:hAnsi="宋体" w:eastAsia="宋体" w:cs="宋体"/>
          <w:sz w:val="28"/>
          <w:szCs w:val="24"/>
          <w:lang w:val="en-US" w:eastAsia="zh-CN"/>
        </w:rPr>
        <w:t>度约5</w:t>
      </w:r>
      <w:r>
        <w:rPr>
          <w:rFonts w:hint="eastAsia" w:ascii="宋体" w:hAnsi="宋体" w:eastAsia="宋体" w:cs="宋体"/>
          <w:sz w:val="28"/>
          <w:szCs w:val="24"/>
          <w:lang w:val="en-GB"/>
        </w:rPr>
        <w:t>m，</w:t>
      </w:r>
      <w:r>
        <w:rPr>
          <w:rFonts w:hint="eastAsia" w:ascii="宋体" w:hAnsi="宋体" w:eastAsia="宋体" w:cs="宋体"/>
          <w:sz w:val="28"/>
          <w:szCs w:val="24"/>
        </w:rPr>
        <w:t>工作线长度约</w:t>
      </w:r>
      <w:r>
        <w:rPr>
          <w:rFonts w:hint="eastAsia" w:ascii="宋体" w:hAnsi="宋体" w:eastAsia="宋体" w:cs="宋体"/>
          <w:sz w:val="28"/>
          <w:szCs w:val="24"/>
          <w:lang w:val="en-US" w:eastAsia="zh-CN"/>
        </w:rPr>
        <w:t>78</w:t>
      </w:r>
      <w:r>
        <w:rPr>
          <w:rFonts w:hint="eastAsia" w:ascii="宋体" w:hAnsi="宋体" w:eastAsia="宋体" w:cs="宋体"/>
          <w:sz w:val="28"/>
          <w:szCs w:val="24"/>
        </w:rPr>
        <w:t>m，</w:t>
      </w:r>
      <w:r>
        <w:rPr>
          <w:rFonts w:hint="eastAsia" w:ascii="宋体" w:hAnsi="宋体" w:eastAsia="宋体" w:cs="宋体"/>
          <w:sz w:val="28"/>
          <w:szCs w:val="24"/>
          <w:lang w:val="en-GB"/>
        </w:rPr>
        <w:t>台阶坡面角</w:t>
      </w:r>
      <w:r>
        <w:rPr>
          <w:rFonts w:hint="eastAsia" w:ascii="宋体" w:hAnsi="宋体" w:eastAsia="宋体" w:cs="宋体"/>
          <w:sz w:val="28"/>
          <w:szCs w:val="24"/>
        </w:rPr>
        <w:t>约</w:t>
      </w:r>
      <w:r>
        <w:rPr>
          <w:rFonts w:hint="eastAsia" w:ascii="宋体" w:hAnsi="宋体" w:eastAsia="宋体" w:cs="宋体"/>
          <w:sz w:val="28"/>
          <w:szCs w:val="24"/>
          <w:lang w:val="en-US" w:eastAsia="zh-CN"/>
        </w:rPr>
        <w:t>45～65</w:t>
      </w:r>
      <w:r>
        <w:rPr>
          <w:rFonts w:hint="eastAsia" w:ascii="宋体" w:hAnsi="宋体" w:eastAsia="宋体" w:cs="宋体"/>
          <w:sz w:val="28"/>
          <w:szCs w:val="24"/>
          <w:lang w:val="en-GB"/>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4"/>
          <w:lang w:val="en-GB"/>
        </w:rPr>
      </w:pPr>
      <w:r>
        <w:rPr>
          <w:rFonts w:hint="eastAsia" w:ascii="宋体" w:hAnsi="宋体" w:eastAsia="宋体" w:cs="宋体"/>
          <w:sz w:val="28"/>
          <w:szCs w:val="24"/>
        </w:rPr>
        <w:t>1</w:t>
      </w:r>
      <w:r>
        <w:rPr>
          <w:rFonts w:hint="eastAsia" w:ascii="宋体" w:hAnsi="宋体" w:eastAsia="宋体" w:cs="宋体"/>
          <w:sz w:val="28"/>
          <w:szCs w:val="24"/>
          <w:lang w:val="en-US" w:eastAsia="zh-CN"/>
        </w:rPr>
        <w:t>860</w:t>
      </w:r>
      <w:r>
        <w:rPr>
          <w:rFonts w:hint="eastAsia" w:ascii="宋体" w:hAnsi="宋体" w:eastAsia="宋体" w:cs="宋体"/>
          <w:sz w:val="28"/>
          <w:szCs w:val="24"/>
          <w:lang w:val="en-GB"/>
        </w:rPr>
        <w:t>m</w:t>
      </w:r>
      <w:r>
        <w:rPr>
          <w:rFonts w:hint="eastAsia" w:ascii="宋体" w:hAnsi="宋体" w:eastAsia="宋体" w:cs="宋体"/>
          <w:sz w:val="28"/>
          <w:szCs w:val="24"/>
          <w:lang w:val="en-US" w:eastAsia="zh-CN"/>
        </w:rPr>
        <w:t>运输</w:t>
      </w:r>
      <w:r>
        <w:rPr>
          <w:rFonts w:hint="eastAsia" w:ascii="宋体" w:hAnsi="宋体" w:eastAsia="宋体" w:cs="宋体"/>
          <w:sz w:val="28"/>
          <w:szCs w:val="24"/>
          <w:lang w:val="en-GB"/>
        </w:rPr>
        <w:t>平台</w:t>
      </w:r>
      <w:r>
        <w:rPr>
          <w:rFonts w:hint="eastAsia" w:ascii="宋体" w:hAnsi="宋体" w:eastAsia="宋体" w:cs="宋体"/>
          <w:sz w:val="28"/>
          <w:szCs w:val="24"/>
        </w:rPr>
        <w:t>台阶</w:t>
      </w:r>
      <w:r>
        <w:rPr>
          <w:rFonts w:hint="eastAsia" w:ascii="宋体" w:hAnsi="宋体" w:eastAsia="宋体" w:cs="宋体"/>
          <w:sz w:val="28"/>
          <w:szCs w:val="24"/>
          <w:lang w:val="en-GB"/>
        </w:rPr>
        <w:t>高</w:t>
      </w:r>
      <w:r>
        <w:rPr>
          <w:rFonts w:hint="eastAsia" w:ascii="宋体" w:hAnsi="宋体" w:eastAsia="宋体" w:cs="宋体"/>
          <w:sz w:val="28"/>
          <w:szCs w:val="24"/>
          <w:lang w:val="en-US" w:eastAsia="zh-CN"/>
        </w:rPr>
        <w:t>度</w:t>
      </w:r>
      <w:r>
        <w:rPr>
          <w:rFonts w:hint="eastAsia" w:ascii="宋体" w:hAnsi="宋体" w:eastAsia="宋体" w:cs="宋体"/>
          <w:sz w:val="28"/>
          <w:szCs w:val="24"/>
        </w:rPr>
        <w:t>约</w:t>
      </w:r>
      <w:r>
        <w:rPr>
          <w:rFonts w:hint="eastAsia" w:ascii="宋体" w:hAnsi="宋体" w:eastAsia="宋体" w:cs="宋体"/>
          <w:sz w:val="28"/>
          <w:szCs w:val="24"/>
          <w:lang w:val="en-US" w:eastAsia="zh-CN"/>
        </w:rPr>
        <w:t>6～8m</w:t>
      </w:r>
      <w:r>
        <w:rPr>
          <w:rFonts w:hint="eastAsia" w:ascii="宋体" w:hAnsi="宋体" w:eastAsia="宋体" w:cs="宋体"/>
          <w:sz w:val="28"/>
          <w:szCs w:val="24"/>
          <w:lang w:eastAsia="zh-CN"/>
        </w:rPr>
        <w:t>，</w:t>
      </w:r>
      <w:r>
        <w:rPr>
          <w:rFonts w:hint="eastAsia" w:ascii="宋体" w:hAnsi="宋体" w:eastAsia="宋体" w:cs="宋体"/>
          <w:sz w:val="28"/>
          <w:szCs w:val="24"/>
        </w:rPr>
        <w:t>平台</w:t>
      </w:r>
      <w:r>
        <w:rPr>
          <w:rFonts w:hint="eastAsia" w:ascii="宋体" w:hAnsi="宋体" w:eastAsia="宋体" w:cs="宋体"/>
          <w:sz w:val="28"/>
          <w:szCs w:val="24"/>
          <w:lang w:val="en-GB"/>
        </w:rPr>
        <w:t>宽</w:t>
      </w:r>
      <w:r>
        <w:rPr>
          <w:rFonts w:hint="eastAsia" w:ascii="宋体" w:hAnsi="宋体" w:eastAsia="宋体" w:cs="宋体"/>
          <w:sz w:val="28"/>
          <w:szCs w:val="24"/>
          <w:lang w:val="en-US" w:eastAsia="zh-CN"/>
        </w:rPr>
        <w:t>度约6</w:t>
      </w:r>
      <w:r>
        <w:rPr>
          <w:rFonts w:hint="eastAsia" w:ascii="宋体" w:hAnsi="宋体" w:eastAsia="宋体" w:cs="宋体"/>
          <w:sz w:val="28"/>
          <w:szCs w:val="24"/>
          <w:lang w:val="en-GB"/>
        </w:rPr>
        <w:t>m，</w:t>
      </w:r>
      <w:r>
        <w:rPr>
          <w:rFonts w:hint="eastAsia" w:ascii="宋体" w:hAnsi="宋体" w:eastAsia="宋体" w:cs="宋体"/>
          <w:sz w:val="28"/>
          <w:szCs w:val="24"/>
        </w:rPr>
        <w:t>工作线长度约</w:t>
      </w:r>
      <w:r>
        <w:rPr>
          <w:rFonts w:hint="eastAsia" w:ascii="宋体" w:hAnsi="宋体" w:eastAsia="宋体" w:cs="宋体"/>
          <w:sz w:val="28"/>
          <w:szCs w:val="24"/>
          <w:lang w:val="en-US" w:eastAsia="zh-CN"/>
        </w:rPr>
        <w:t>74</w:t>
      </w:r>
      <w:r>
        <w:rPr>
          <w:rFonts w:hint="eastAsia" w:ascii="宋体" w:hAnsi="宋体" w:eastAsia="宋体" w:cs="宋体"/>
          <w:sz w:val="28"/>
          <w:szCs w:val="24"/>
        </w:rPr>
        <w:t>m，</w:t>
      </w:r>
      <w:r>
        <w:rPr>
          <w:rFonts w:hint="eastAsia" w:ascii="宋体" w:hAnsi="宋体" w:eastAsia="宋体" w:cs="宋体"/>
          <w:sz w:val="28"/>
          <w:szCs w:val="24"/>
          <w:lang w:val="en-GB"/>
        </w:rPr>
        <w:t>台阶坡面角</w:t>
      </w:r>
      <w:r>
        <w:rPr>
          <w:rFonts w:hint="eastAsia" w:ascii="宋体" w:hAnsi="宋体" w:eastAsia="宋体" w:cs="宋体"/>
          <w:sz w:val="28"/>
          <w:szCs w:val="24"/>
        </w:rPr>
        <w:t>约</w:t>
      </w:r>
      <w:r>
        <w:rPr>
          <w:rFonts w:hint="eastAsia" w:ascii="宋体" w:hAnsi="宋体" w:eastAsia="宋体" w:cs="宋体"/>
          <w:sz w:val="28"/>
          <w:szCs w:val="24"/>
          <w:lang w:val="en-US" w:eastAsia="zh-CN"/>
        </w:rPr>
        <w:t>40～63</w:t>
      </w:r>
      <w:r>
        <w:rPr>
          <w:rFonts w:hint="eastAsia" w:ascii="宋体" w:hAnsi="宋体" w:eastAsia="宋体" w:cs="宋体"/>
          <w:sz w:val="28"/>
          <w:szCs w:val="24"/>
          <w:lang w:val="en-GB"/>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4"/>
          <w:lang w:val="en-GB"/>
        </w:rPr>
      </w:pPr>
      <w:r>
        <w:rPr>
          <w:rFonts w:hint="eastAsia" w:ascii="宋体" w:hAnsi="宋体" w:eastAsia="宋体" w:cs="宋体"/>
          <w:sz w:val="28"/>
          <w:szCs w:val="24"/>
        </w:rPr>
        <w:t>1</w:t>
      </w:r>
      <w:r>
        <w:rPr>
          <w:rFonts w:hint="eastAsia" w:ascii="宋体" w:hAnsi="宋体" w:eastAsia="宋体" w:cs="宋体"/>
          <w:sz w:val="28"/>
          <w:szCs w:val="24"/>
          <w:lang w:val="en-US" w:eastAsia="zh-CN"/>
        </w:rPr>
        <w:t>852</w:t>
      </w:r>
      <w:r>
        <w:rPr>
          <w:rFonts w:hint="eastAsia" w:ascii="宋体" w:hAnsi="宋体" w:eastAsia="宋体" w:cs="宋体"/>
          <w:sz w:val="28"/>
          <w:szCs w:val="24"/>
          <w:lang w:val="en-GB"/>
        </w:rPr>
        <w:t>m平台</w:t>
      </w:r>
      <w:r>
        <w:rPr>
          <w:rFonts w:hint="eastAsia" w:ascii="宋体" w:hAnsi="宋体" w:eastAsia="宋体" w:cs="宋体"/>
          <w:sz w:val="28"/>
          <w:szCs w:val="24"/>
        </w:rPr>
        <w:t>台阶</w:t>
      </w:r>
      <w:r>
        <w:rPr>
          <w:rFonts w:hint="eastAsia" w:ascii="宋体" w:hAnsi="宋体" w:eastAsia="宋体" w:cs="宋体"/>
          <w:sz w:val="28"/>
          <w:szCs w:val="24"/>
          <w:lang w:val="en-GB"/>
        </w:rPr>
        <w:t>高</w:t>
      </w:r>
      <w:r>
        <w:rPr>
          <w:rFonts w:hint="eastAsia" w:ascii="宋体" w:hAnsi="宋体" w:eastAsia="宋体" w:cs="宋体"/>
          <w:sz w:val="28"/>
          <w:szCs w:val="24"/>
          <w:lang w:val="en-US" w:eastAsia="zh-CN"/>
        </w:rPr>
        <w:t>度</w:t>
      </w:r>
      <w:r>
        <w:rPr>
          <w:rFonts w:hint="eastAsia" w:ascii="宋体" w:hAnsi="宋体" w:eastAsia="宋体" w:cs="宋体"/>
          <w:sz w:val="28"/>
          <w:szCs w:val="24"/>
        </w:rPr>
        <w:t>约</w:t>
      </w:r>
      <w:r>
        <w:rPr>
          <w:rFonts w:hint="eastAsia" w:ascii="宋体" w:hAnsi="宋体" w:eastAsia="宋体" w:cs="宋体"/>
          <w:sz w:val="28"/>
          <w:szCs w:val="24"/>
          <w:lang w:val="en-US" w:eastAsia="zh-CN"/>
        </w:rPr>
        <w:t>8m</w:t>
      </w:r>
      <w:r>
        <w:rPr>
          <w:rFonts w:hint="eastAsia" w:ascii="宋体" w:hAnsi="宋体" w:eastAsia="宋体" w:cs="宋体"/>
          <w:sz w:val="28"/>
          <w:szCs w:val="24"/>
          <w:lang w:eastAsia="zh-CN"/>
        </w:rPr>
        <w:t>，</w:t>
      </w:r>
      <w:r>
        <w:rPr>
          <w:rFonts w:hint="eastAsia" w:ascii="宋体" w:hAnsi="宋体" w:eastAsia="宋体" w:cs="宋体"/>
          <w:sz w:val="28"/>
          <w:szCs w:val="24"/>
          <w:lang w:val="en-GB"/>
        </w:rPr>
        <w:t>台阶坡面角</w:t>
      </w:r>
      <w:r>
        <w:rPr>
          <w:rFonts w:hint="eastAsia" w:ascii="宋体" w:hAnsi="宋体" w:eastAsia="宋体" w:cs="宋体"/>
          <w:sz w:val="28"/>
          <w:szCs w:val="24"/>
        </w:rPr>
        <w:t>约</w:t>
      </w:r>
      <w:r>
        <w:rPr>
          <w:rFonts w:hint="eastAsia" w:ascii="宋体" w:hAnsi="宋体" w:eastAsia="宋体" w:cs="宋体"/>
          <w:sz w:val="28"/>
          <w:szCs w:val="24"/>
          <w:lang w:val="en-US" w:eastAsia="zh-CN"/>
        </w:rPr>
        <w:t>55～65</w:t>
      </w:r>
      <w:r>
        <w:rPr>
          <w:rFonts w:hint="eastAsia" w:ascii="宋体" w:hAnsi="宋体" w:eastAsia="宋体" w:cs="宋体"/>
          <w:sz w:val="28"/>
          <w:szCs w:val="24"/>
          <w:lang w:val="en-GB"/>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开采区域目前边坡稳定，未发生滑坡、崩（坍）塌等地质灾害。</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2</w:t>
      </w:r>
      <w:r>
        <w:rPr>
          <w:rFonts w:hint="eastAsia" w:ascii="宋体" w:hAnsi="宋体" w:cs="宋体"/>
          <w:b/>
          <w:bCs/>
          <w:color w:val="auto"/>
          <w:sz w:val="28"/>
          <w:szCs w:val="28"/>
          <w:lang w:val="en-US" w:eastAsia="zh-CN"/>
        </w:rPr>
        <w:t>.</w:t>
      </w:r>
      <w:r>
        <w:rPr>
          <w:rFonts w:hint="eastAsia" w:ascii="宋体" w:hAnsi="宋体" w:eastAsia="宋体" w:cs="宋体"/>
          <w:b/>
          <w:bCs/>
          <w:color w:val="auto"/>
          <w:sz w:val="28"/>
          <w:szCs w:val="28"/>
          <w:lang w:val="en-US" w:eastAsia="zh-CN"/>
        </w:rPr>
        <w:t>开拓运输</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矿山采用公路开拓，汽车运输。</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3</w:t>
      </w:r>
      <w:r>
        <w:rPr>
          <w:rFonts w:hint="eastAsia" w:ascii="宋体" w:hAnsi="宋体" w:cs="宋体"/>
          <w:b/>
          <w:bCs/>
          <w:color w:val="auto"/>
          <w:sz w:val="28"/>
          <w:szCs w:val="28"/>
          <w:lang w:val="en-US" w:eastAsia="zh-CN"/>
        </w:rPr>
        <w:t>.</w:t>
      </w:r>
      <w:r>
        <w:rPr>
          <w:rFonts w:hint="eastAsia" w:ascii="宋体" w:hAnsi="宋体" w:eastAsia="宋体" w:cs="宋体"/>
          <w:b/>
          <w:bCs/>
          <w:color w:val="auto"/>
          <w:sz w:val="28"/>
          <w:szCs w:val="28"/>
          <w:lang w:val="en-US" w:eastAsia="zh-CN"/>
        </w:rPr>
        <w:t>开采方式</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根据矿区地形条件和矿体赋存条件，因矿体大多出露地表，矿体表面仅覆盖有少量的残坡积层。在开采过程中采用挖机进行清除后即可进行矿石的回采，</w:t>
      </w:r>
      <w:r>
        <w:rPr>
          <w:rFonts w:hint="eastAsia" w:ascii="宋体" w:hAnsi="宋体" w:eastAsia="宋体" w:cs="宋体"/>
          <w:color w:val="auto"/>
          <w:sz w:val="28"/>
          <w:szCs w:val="28"/>
          <w:lang w:val="en-US" w:eastAsia="zh-CN"/>
        </w:rPr>
        <w:t>现状</w:t>
      </w:r>
      <w:r>
        <w:rPr>
          <w:rFonts w:hint="eastAsia" w:ascii="宋体" w:hAnsi="宋体" w:eastAsia="宋体" w:cs="宋体"/>
          <w:color w:val="auto"/>
          <w:sz w:val="28"/>
          <w:szCs w:val="28"/>
        </w:rPr>
        <w:t>采用</w:t>
      </w:r>
      <w:r>
        <w:rPr>
          <w:rFonts w:hint="eastAsia" w:ascii="宋体" w:hAnsi="宋体" w:eastAsia="宋体" w:cs="宋体"/>
          <w:color w:val="auto"/>
          <w:sz w:val="28"/>
          <w:szCs w:val="28"/>
          <w:lang w:val="en-US" w:eastAsia="zh-CN"/>
        </w:rPr>
        <w:t>山坡露天开采</w:t>
      </w:r>
      <w:r>
        <w:rPr>
          <w:rFonts w:hint="eastAsia" w:ascii="宋体" w:hAnsi="宋体" w:eastAsia="宋体" w:cs="宋体"/>
          <w:color w:val="auto"/>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4</w:t>
      </w:r>
      <w:r>
        <w:rPr>
          <w:rFonts w:hint="eastAsia" w:ascii="宋体" w:hAnsi="宋体" w:cs="宋体"/>
          <w:b/>
          <w:bCs/>
          <w:color w:val="auto"/>
          <w:sz w:val="28"/>
          <w:szCs w:val="28"/>
          <w:lang w:val="en-US" w:eastAsia="zh-CN"/>
        </w:rPr>
        <w:t>.</w:t>
      </w:r>
      <w:r>
        <w:rPr>
          <w:rFonts w:hint="eastAsia" w:ascii="宋体" w:hAnsi="宋体" w:eastAsia="宋体" w:cs="宋体"/>
          <w:b/>
          <w:bCs/>
          <w:color w:val="auto"/>
          <w:sz w:val="28"/>
          <w:szCs w:val="28"/>
          <w:lang w:val="en-US" w:eastAsia="zh-CN"/>
        </w:rPr>
        <w:t>破碎加工区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矿山破碎加工区位于矿区</w:t>
      </w:r>
      <w:r>
        <w:rPr>
          <w:rFonts w:hint="eastAsia" w:ascii="宋体" w:hAnsi="宋体" w:eastAsia="宋体" w:cs="宋体"/>
          <w:color w:val="auto"/>
          <w:sz w:val="28"/>
          <w:szCs w:val="28"/>
          <w:lang w:val="en-US" w:eastAsia="zh-CN"/>
        </w:rPr>
        <w:t>中部偏北方向</w:t>
      </w:r>
      <w:r>
        <w:rPr>
          <w:rFonts w:hint="eastAsia" w:ascii="宋体" w:hAnsi="宋体" w:eastAsia="宋体" w:cs="宋体"/>
          <w:color w:val="auto"/>
          <w:sz w:val="28"/>
          <w:szCs w:val="28"/>
        </w:rPr>
        <w:t>，</w:t>
      </w:r>
      <w:r>
        <w:rPr>
          <w:rFonts w:hint="eastAsia" w:ascii="宋体" w:hAnsi="宋体" w:eastAsia="宋体" w:cs="宋体"/>
          <w:color w:val="auto"/>
          <w:sz w:val="28"/>
          <w:szCs w:val="28"/>
          <w:lang w:val="en-US" w:eastAsia="zh-CN"/>
        </w:rPr>
        <w:t>靠近</w:t>
      </w:r>
      <w:r>
        <w:rPr>
          <w:rFonts w:hint="eastAsia" w:ascii="宋体" w:hAnsi="宋体" w:eastAsia="宋体" w:cs="宋体"/>
          <w:color w:val="auto"/>
          <w:sz w:val="28"/>
          <w:szCs w:val="28"/>
        </w:rPr>
        <w:t>当前采场工作面，与开采</w:t>
      </w:r>
      <w:r>
        <w:rPr>
          <w:rFonts w:hint="eastAsia" w:ascii="宋体" w:hAnsi="宋体" w:eastAsia="宋体" w:cs="宋体"/>
          <w:color w:val="auto"/>
          <w:sz w:val="28"/>
          <w:szCs w:val="28"/>
          <w:lang w:val="en-US" w:eastAsia="zh-CN"/>
        </w:rPr>
        <w:t>平台</w:t>
      </w:r>
      <w:r>
        <w:rPr>
          <w:rFonts w:hint="eastAsia" w:ascii="宋体" w:hAnsi="宋体" w:eastAsia="宋体" w:cs="宋体"/>
          <w:color w:val="auto"/>
          <w:sz w:val="28"/>
          <w:szCs w:val="28"/>
        </w:rPr>
        <w:t>边坡坡底线距离约</w:t>
      </w:r>
      <w:r>
        <w:rPr>
          <w:rFonts w:hint="eastAsia" w:ascii="宋体" w:hAnsi="宋体" w:eastAsia="宋体" w:cs="宋体"/>
          <w:color w:val="auto"/>
          <w:sz w:val="28"/>
          <w:szCs w:val="28"/>
          <w:lang w:val="en-US" w:eastAsia="zh-CN"/>
        </w:rPr>
        <w:t>6</w:t>
      </w:r>
      <w:r>
        <w:rPr>
          <w:rFonts w:hint="eastAsia" w:ascii="宋体" w:hAnsi="宋体" w:eastAsia="宋体" w:cs="宋体"/>
          <w:color w:val="auto"/>
          <w:sz w:val="28"/>
          <w:szCs w:val="28"/>
        </w:rPr>
        <w:t>0m</w:t>
      </w:r>
      <w:r>
        <w:rPr>
          <w:rFonts w:hint="eastAsia" w:ascii="宋体" w:hAnsi="宋体" w:eastAsia="宋体" w:cs="宋体"/>
          <w:color w:val="auto"/>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kern w:val="0"/>
          <w:sz w:val="28"/>
          <w:szCs w:val="28"/>
          <w:lang w:val="en-US" w:eastAsia="zh-CN" w:bidi="ar-SA"/>
        </w:rPr>
      </w:pPr>
      <w:r>
        <w:rPr>
          <w:rFonts w:hint="eastAsia" w:ascii="宋体" w:hAnsi="宋体" w:eastAsia="宋体" w:cs="宋体"/>
          <w:b/>
          <w:bCs/>
          <w:color w:val="auto"/>
          <w:kern w:val="0"/>
          <w:sz w:val="28"/>
          <w:szCs w:val="28"/>
          <w:lang w:val="en-US" w:eastAsia="zh-CN" w:bidi="ar-SA"/>
        </w:rPr>
        <w:t>5</w:t>
      </w:r>
      <w:r>
        <w:rPr>
          <w:rFonts w:hint="eastAsia" w:ascii="宋体" w:hAnsi="宋体" w:cs="宋体"/>
          <w:b/>
          <w:bCs/>
          <w:color w:val="auto"/>
          <w:kern w:val="0"/>
          <w:sz w:val="28"/>
          <w:szCs w:val="28"/>
          <w:lang w:val="en-US" w:eastAsia="zh-CN" w:bidi="ar-SA"/>
        </w:rPr>
        <w:t>.</w:t>
      </w:r>
      <w:r>
        <w:rPr>
          <w:rFonts w:hint="eastAsia" w:ascii="宋体" w:hAnsi="宋体" w:eastAsia="宋体" w:cs="宋体"/>
          <w:b/>
          <w:bCs/>
          <w:color w:val="auto"/>
          <w:kern w:val="0"/>
          <w:sz w:val="28"/>
          <w:szCs w:val="28"/>
          <w:lang w:val="en-US" w:eastAsia="zh-CN" w:bidi="ar-SA"/>
        </w:rPr>
        <w:t>办公</w:t>
      </w:r>
      <w:r>
        <w:rPr>
          <w:rFonts w:hint="eastAsia" w:ascii="宋体" w:hAnsi="宋体" w:cs="宋体"/>
          <w:b/>
          <w:bCs/>
          <w:color w:val="auto"/>
          <w:kern w:val="0"/>
          <w:sz w:val="28"/>
          <w:szCs w:val="28"/>
          <w:lang w:val="en-US" w:eastAsia="zh-CN" w:bidi="ar-SA"/>
        </w:rPr>
        <w:t>室</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bCs/>
          <w:color w:val="auto"/>
          <w:sz w:val="28"/>
          <w:szCs w:val="28"/>
        </w:rPr>
      </w:pPr>
      <w:r>
        <w:rPr>
          <w:rFonts w:hint="eastAsia" w:ascii="宋体" w:hAnsi="宋体" w:eastAsia="宋体" w:cs="Times New Roman"/>
          <w:sz w:val="28"/>
          <w:szCs w:val="24"/>
          <w:lang w:val="en-US" w:eastAsia="zh-CN"/>
        </w:rPr>
        <w:t>办公室位于矿区南面约132m。</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kern w:val="0"/>
          <w:sz w:val="28"/>
          <w:szCs w:val="28"/>
          <w:highlight w:val="none"/>
          <w:lang w:val="en-US" w:eastAsia="zh-CN" w:bidi="ar-SA"/>
        </w:rPr>
      </w:pPr>
      <w:r>
        <w:rPr>
          <w:rFonts w:hint="eastAsia" w:ascii="宋体" w:hAnsi="宋体" w:cs="宋体"/>
          <w:b/>
          <w:bCs/>
          <w:color w:val="auto"/>
          <w:kern w:val="0"/>
          <w:sz w:val="28"/>
          <w:szCs w:val="28"/>
          <w:highlight w:val="none"/>
          <w:lang w:val="en-US" w:eastAsia="zh-CN" w:bidi="ar-SA"/>
        </w:rPr>
        <w:t>6.</w:t>
      </w:r>
      <w:r>
        <w:rPr>
          <w:rFonts w:hint="eastAsia" w:ascii="宋体" w:hAnsi="宋体" w:eastAsia="宋体" w:cs="宋体"/>
          <w:b/>
          <w:bCs/>
          <w:color w:val="auto"/>
          <w:kern w:val="0"/>
          <w:sz w:val="28"/>
          <w:szCs w:val="28"/>
          <w:highlight w:val="none"/>
          <w:lang w:val="en-US" w:eastAsia="zh-CN" w:bidi="ar-SA"/>
        </w:rPr>
        <w:t>矿山现有设备</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outlineLvl w:val="9"/>
        <w:rPr>
          <w:rFonts w:hint="default" w:ascii="宋体" w:hAnsi="宋体" w:eastAsia="宋体" w:cs="宋体"/>
          <w:b/>
          <w:bCs/>
          <w:color w:val="auto"/>
          <w:kern w:val="0"/>
          <w:sz w:val="21"/>
          <w:szCs w:val="21"/>
          <w:highlight w:val="none"/>
          <w:lang w:val="en-US" w:eastAsia="zh-CN" w:bidi="ar-SA"/>
        </w:rPr>
      </w:pPr>
      <w:r>
        <w:rPr>
          <w:rFonts w:hint="eastAsia" w:ascii="宋体" w:hAnsi="宋体" w:cs="宋体"/>
          <w:b/>
          <w:bCs/>
          <w:color w:val="auto"/>
          <w:kern w:val="0"/>
          <w:sz w:val="21"/>
          <w:szCs w:val="21"/>
          <w:highlight w:val="none"/>
          <w:lang w:val="en-US" w:eastAsia="zh-CN" w:bidi="ar-SA"/>
        </w:rPr>
        <w:t>表2-2矿山现有设备表</w:t>
      </w:r>
    </w:p>
    <w:tbl>
      <w:tblPr>
        <w:tblStyle w:val="35"/>
        <w:tblW w:w="473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3"/>
        <w:gridCol w:w="2923"/>
        <w:gridCol w:w="1772"/>
        <w:gridCol w:w="1290"/>
        <w:gridCol w:w="1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noWrap w:val="0"/>
            <w:vAlign w:val="top"/>
          </w:tcPr>
          <w:p>
            <w:pPr>
              <w:spacing w:line="300" w:lineRule="exact"/>
              <w:jc w:val="center"/>
              <w:rPr>
                <w:rFonts w:hint="eastAsia" w:ascii="宋体" w:hAnsi="宋体" w:eastAsia="宋体" w:cs="宋体"/>
                <w:b w:val="0"/>
                <w:bCs w:val="0"/>
                <w:szCs w:val="21"/>
              </w:rPr>
            </w:pPr>
            <w:r>
              <w:rPr>
                <w:rFonts w:hint="eastAsia" w:ascii="宋体" w:hAnsi="宋体" w:eastAsia="宋体" w:cs="宋体"/>
                <w:szCs w:val="21"/>
              </w:rPr>
              <w:t>序号</w:t>
            </w:r>
          </w:p>
        </w:tc>
        <w:tc>
          <w:tcPr>
            <w:tcW w:w="2923" w:type="dxa"/>
            <w:noWrap w:val="0"/>
            <w:vAlign w:val="top"/>
          </w:tcPr>
          <w:p>
            <w:pPr>
              <w:spacing w:line="300" w:lineRule="exact"/>
              <w:jc w:val="center"/>
              <w:rPr>
                <w:rFonts w:hint="eastAsia" w:ascii="宋体" w:hAnsi="宋体" w:eastAsia="宋体" w:cs="宋体"/>
                <w:b w:val="0"/>
                <w:bCs w:val="0"/>
                <w:color w:val="000000"/>
                <w:szCs w:val="21"/>
                <w:lang w:eastAsia="zh-CN"/>
              </w:rPr>
            </w:pPr>
            <w:r>
              <w:rPr>
                <w:rFonts w:hint="eastAsia" w:ascii="宋体" w:hAnsi="宋体" w:eastAsia="宋体" w:cs="宋体"/>
                <w:szCs w:val="21"/>
              </w:rPr>
              <w:t>设备名称</w:t>
            </w:r>
          </w:p>
        </w:tc>
        <w:tc>
          <w:tcPr>
            <w:tcW w:w="1772" w:type="dxa"/>
            <w:noWrap w:val="0"/>
            <w:vAlign w:val="top"/>
          </w:tcPr>
          <w:p>
            <w:pPr>
              <w:spacing w:line="300" w:lineRule="exact"/>
              <w:jc w:val="center"/>
              <w:rPr>
                <w:rFonts w:hint="eastAsia" w:ascii="宋体" w:hAnsi="宋体" w:eastAsia="宋体" w:cs="宋体"/>
                <w:b w:val="0"/>
                <w:bCs w:val="0"/>
                <w:szCs w:val="21"/>
              </w:rPr>
            </w:pPr>
            <w:r>
              <w:rPr>
                <w:rFonts w:hint="eastAsia" w:ascii="宋体" w:hAnsi="宋体" w:eastAsia="宋体" w:cs="宋体"/>
                <w:szCs w:val="21"/>
              </w:rPr>
              <w:t>规格型号</w:t>
            </w:r>
          </w:p>
        </w:tc>
        <w:tc>
          <w:tcPr>
            <w:tcW w:w="1290" w:type="dxa"/>
            <w:noWrap w:val="0"/>
            <w:vAlign w:val="top"/>
          </w:tcPr>
          <w:p>
            <w:pPr>
              <w:spacing w:line="300" w:lineRule="exact"/>
              <w:jc w:val="center"/>
              <w:rPr>
                <w:rFonts w:hint="eastAsia" w:ascii="宋体" w:hAnsi="宋体" w:eastAsia="宋体" w:cs="宋体"/>
                <w:b w:val="0"/>
                <w:bCs w:val="0"/>
                <w:szCs w:val="21"/>
                <w:lang w:eastAsia="zh-CN"/>
              </w:rPr>
            </w:pPr>
            <w:r>
              <w:rPr>
                <w:rFonts w:hint="eastAsia" w:ascii="宋体" w:hAnsi="宋体" w:eastAsia="宋体" w:cs="宋体"/>
                <w:szCs w:val="21"/>
              </w:rPr>
              <w:t>单位</w:t>
            </w:r>
          </w:p>
        </w:tc>
        <w:tc>
          <w:tcPr>
            <w:tcW w:w="1697" w:type="dxa"/>
            <w:noWrap w:val="0"/>
            <w:vAlign w:val="top"/>
          </w:tcPr>
          <w:p>
            <w:pPr>
              <w:spacing w:line="300" w:lineRule="exact"/>
              <w:jc w:val="center"/>
              <w:rPr>
                <w:rFonts w:hint="eastAsia" w:ascii="宋体" w:hAnsi="宋体" w:eastAsia="宋体" w:cs="宋体"/>
                <w:b w:val="0"/>
                <w:bCs w:val="0"/>
                <w:color w:val="000000"/>
                <w:szCs w:val="21"/>
              </w:rPr>
            </w:pPr>
            <w:r>
              <w:rPr>
                <w:rFonts w:hint="eastAsia" w:ascii="宋体" w:hAnsi="宋体" w:eastAsia="宋体" w:cs="宋体"/>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noWrap w:val="0"/>
            <w:vAlign w:val="top"/>
          </w:tcPr>
          <w:p>
            <w:pPr>
              <w:spacing w:line="300" w:lineRule="exact"/>
              <w:jc w:val="center"/>
              <w:rPr>
                <w:rFonts w:hint="eastAsia" w:ascii="宋体" w:hAnsi="宋体" w:eastAsia="宋体" w:cs="宋体"/>
                <w:b w:val="0"/>
                <w:bCs w:val="0"/>
                <w:szCs w:val="21"/>
              </w:rPr>
            </w:pPr>
            <w:r>
              <w:rPr>
                <w:rFonts w:hint="eastAsia" w:ascii="宋体" w:hAnsi="宋体" w:eastAsia="宋体" w:cs="宋体"/>
                <w:szCs w:val="21"/>
              </w:rPr>
              <w:t>1</w:t>
            </w:r>
          </w:p>
        </w:tc>
        <w:tc>
          <w:tcPr>
            <w:tcW w:w="2923" w:type="dxa"/>
            <w:noWrap w:val="0"/>
            <w:vAlign w:val="center"/>
          </w:tcPr>
          <w:p>
            <w:pPr>
              <w:jc w:val="center"/>
              <w:rPr>
                <w:rFonts w:hint="eastAsia" w:ascii="宋体" w:hAnsi="宋体" w:eastAsia="宋体" w:cs="宋体"/>
                <w:b w:val="0"/>
                <w:bCs w:val="0"/>
                <w:color w:val="000000"/>
                <w:szCs w:val="21"/>
              </w:rPr>
            </w:pPr>
            <w:r>
              <w:rPr>
                <w:rFonts w:hint="eastAsia" w:ascii="宋体" w:hAnsi="宋体" w:eastAsia="宋体" w:cs="宋体"/>
                <w:color w:val="000000"/>
                <w:szCs w:val="21"/>
              </w:rPr>
              <w:t>挖掘机</w:t>
            </w:r>
          </w:p>
        </w:tc>
        <w:tc>
          <w:tcPr>
            <w:tcW w:w="1772" w:type="dxa"/>
            <w:noWrap w:val="0"/>
            <w:vAlign w:val="center"/>
          </w:tcPr>
          <w:p>
            <w:pPr>
              <w:jc w:val="center"/>
              <w:rPr>
                <w:rFonts w:hint="eastAsia" w:ascii="宋体" w:hAnsi="宋体" w:eastAsia="宋体" w:cs="宋体"/>
                <w:b w:val="0"/>
                <w:bCs w:val="0"/>
                <w:szCs w:val="21"/>
              </w:rPr>
            </w:pPr>
            <w:r>
              <w:rPr>
                <w:rFonts w:hint="eastAsia" w:ascii="宋体" w:hAnsi="宋体" w:eastAsia="宋体" w:cs="宋体"/>
                <w:color w:val="000000"/>
                <w:szCs w:val="21"/>
                <w:lang w:val="en-US" w:eastAsia="zh-CN"/>
              </w:rPr>
              <w:t>徐工</w:t>
            </w:r>
          </w:p>
        </w:tc>
        <w:tc>
          <w:tcPr>
            <w:tcW w:w="1290" w:type="dxa"/>
            <w:noWrap w:val="0"/>
            <w:vAlign w:val="center"/>
          </w:tcPr>
          <w:p>
            <w:pPr>
              <w:jc w:val="center"/>
              <w:rPr>
                <w:rFonts w:hint="eastAsia" w:ascii="宋体" w:hAnsi="宋体" w:eastAsia="宋体" w:cs="宋体"/>
                <w:b w:val="0"/>
                <w:bCs w:val="0"/>
                <w:szCs w:val="21"/>
              </w:rPr>
            </w:pPr>
            <w:r>
              <w:rPr>
                <w:rFonts w:hint="eastAsia" w:ascii="宋体" w:hAnsi="宋体" w:eastAsia="宋体" w:cs="宋体"/>
                <w:color w:val="000000"/>
                <w:szCs w:val="21"/>
              </w:rPr>
              <w:t>台</w:t>
            </w:r>
          </w:p>
        </w:tc>
        <w:tc>
          <w:tcPr>
            <w:tcW w:w="1697" w:type="dxa"/>
            <w:noWrap w:val="0"/>
            <w:vAlign w:val="center"/>
          </w:tcPr>
          <w:p>
            <w:pPr>
              <w:jc w:val="center"/>
              <w:rPr>
                <w:rFonts w:hint="eastAsia" w:ascii="宋体" w:hAnsi="宋体" w:eastAsia="宋体" w:cs="宋体"/>
                <w:b w:val="0"/>
                <w:bCs w:val="0"/>
                <w:szCs w:val="21"/>
              </w:rPr>
            </w:pPr>
            <w:r>
              <w:rPr>
                <w:rFonts w:hint="eastAsia" w:ascii="宋体" w:hAnsi="宋体" w:eastAsia="宋体" w:cs="宋体"/>
                <w:color w:val="000000"/>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noWrap w:val="0"/>
            <w:vAlign w:val="top"/>
          </w:tcPr>
          <w:p>
            <w:pPr>
              <w:spacing w:line="300" w:lineRule="exact"/>
              <w:jc w:val="center"/>
              <w:rPr>
                <w:rFonts w:hint="eastAsia" w:ascii="宋体" w:hAnsi="宋体" w:eastAsia="宋体" w:cs="宋体"/>
                <w:b w:val="0"/>
                <w:bCs w:val="0"/>
                <w:szCs w:val="21"/>
              </w:rPr>
            </w:pPr>
            <w:r>
              <w:rPr>
                <w:rFonts w:hint="eastAsia" w:ascii="宋体" w:hAnsi="宋体" w:eastAsia="宋体" w:cs="宋体"/>
                <w:szCs w:val="21"/>
              </w:rPr>
              <w:t>2</w:t>
            </w:r>
          </w:p>
        </w:tc>
        <w:tc>
          <w:tcPr>
            <w:tcW w:w="2923" w:type="dxa"/>
            <w:noWrap w:val="0"/>
            <w:vAlign w:val="center"/>
          </w:tcPr>
          <w:p>
            <w:pPr>
              <w:jc w:val="center"/>
              <w:rPr>
                <w:rFonts w:hint="eastAsia" w:ascii="宋体" w:hAnsi="宋体" w:eastAsia="宋体" w:cs="宋体"/>
                <w:b w:val="0"/>
                <w:bCs w:val="0"/>
                <w:color w:val="000000"/>
                <w:szCs w:val="21"/>
              </w:rPr>
            </w:pPr>
            <w:r>
              <w:rPr>
                <w:rFonts w:hint="eastAsia" w:ascii="宋体" w:hAnsi="宋体" w:eastAsia="宋体" w:cs="宋体"/>
                <w:color w:val="000000"/>
                <w:szCs w:val="21"/>
              </w:rPr>
              <w:t>装载机</w:t>
            </w:r>
          </w:p>
        </w:tc>
        <w:tc>
          <w:tcPr>
            <w:tcW w:w="1772" w:type="dxa"/>
            <w:noWrap w:val="0"/>
            <w:vAlign w:val="center"/>
          </w:tcPr>
          <w:p>
            <w:pPr>
              <w:jc w:val="center"/>
              <w:rPr>
                <w:rFonts w:hint="eastAsia" w:ascii="宋体" w:hAnsi="宋体" w:eastAsia="宋体" w:cs="宋体"/>
                <w:b w:val="0"/>
                <w:bCs w:val="0"/>
                <w:szCs w:val="21"/>
              </w:rPr>
            </w:pPr>
            <w:r>
              <w:rPr>
                <w:rFonts w:hint="eastAsia" w:ascii="宋体" w:hAnsi="宋体" w:eastAsia="宋体" w:cs="宋体"/>
                <w:color w:val="000000"/>
                <w:szCs w:val="21"/>
                <w:lang w:val="en-US" w:eastAsia="zh-CN"/>
              </w:rPr>
              <w:t>柳</w:t>
            </w:r>
            <w:r>
              <w:rPr>
                <w:rFonts w:hint="eastAsia" w:ascii="宋体" w:hAnsi="宋体" w:eastAsia="宋体" w:cs="宋体"/>
                <w:color w:val="000000"/>
                <w:szCs w:val="21"/>
              </w:rPr>
              <w:t>工50</w:t>
            </w:r>
          </w:p>
        </w:tc>
        <w:tc>
          <w:tcPr>
            <w:tcW w:w="1290" w:type="dxa"/>
            <w:noWrap w:val="0"/>
            <w:vAlign w:val="center"/>
          </w:tcPr>
          <w:p>
            <w:pPr>
              <w:jc w:val="center"/>
              <w:rPr>
                <w:rFonts w:hint="eastAsia" w:ascii="宋体" w:hAnsi="宋体" w:eastAsia="宋体" w:cs="宋体"/>
                <w:b w:val="0"/>
                <w:bCs w:val="0"/>
                <w:szCs w:val="21"/>
              </w:rPr>
            </w:pPr>
            <w:r>
              <w:rPr>
                <w:rFonts w:hint="eastAsia" w:ascii="宋体" w:hAnsi="宋体" w:eastAsia="宋体" w:cs="宋体"/>
                <w:color w:val="000000"/>
                <w:szCs w:val="21"/>
              </w:rPr>
              <w:t>台</w:t>
            </w:r>
          </w:p>
        </w:tc>
        <w:tc>
          <w:tcPr>
            <w:tcW w:w="1697" w:type="dxa"/>
            <w:noWrap w:val="0"/>
            <w:vAlign w:val="center"/>
          </w:tcPr>
          <w:p>
            <w:pPr>
              <w:jc w:val="center"/>
              <w:rPr>
                <w:rFonts w:hint="eastAsia" w:ascii="宋体" w:hAnsi="宋体" w:eastAsia="宋体" w:cs="宋体"/>
                <w:b w:val="0"/>
                <w:bCs w:val="0"/>
                <w:szCs w:val="21"/>
              </w:rPr>
            </w:pPr>
            <w:r>
              <w:rPr>
                <w:rFonts w:hint="eastAsia" w:ascii="宋体" w:hAnsi="宋体" w:eastAsia="宋体" w:cs="宋体"/>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noWrap w:val="0"/>
            <w:vAlign w:val="top"/>
          </w:tcPr>
          <w:p>
            <w:pPr>
              <w:spacing w:line="300" w:lineRule="exact"/>
              <w:jc w:val="center"/>
              <w:rPr>
                <w:rFonts w:hint="eastAsia" w:ascii="宋体" w:hAnsi="宋体" w:eastAsia="宋体" w:cs="宋体"/>
                <w:b w:val="0"/>
                <w:bCs w:val="0"/>
                <w:szCs w:val="21"/>
                <w:lang w:val="en-US" w:eastAsia="zh-CN"/>
              </w:rPr>
            </w:pPr>
            <w:r>
              <w:rPr>
                <w:rFonts w:hint="eastAsia" w:ascii="宋体" w:hAnsi="宋体" w:eastAsia="宋体" w:cs="宋体"/>
                <w:szCs w:val="21"/>
              </w:rPr>
              <w:t>3</w:t>
            </w:r>
          </w:p>
        </w:tc>
        <w:tc>
          <w:tcPr>
            <w:tcW w:w="2923" w:type="dxa"/>
            <w:noWrap w:val="0"/>
            <w:vAlign w:val="center"/>
          </w:tcPr>
          <w:p>
            <w:pPr>
              <w:jc w:val="center"/>
              <w:rPr>
                <w:rFonts w:hint="eastAsia" w:ascii="宋体" w:hAnsi="宋体" w:eastAsia="宋体" w:cs="宋体"/>
                <w:b w:val="0"/>
                <w:bCs w:val="0"/>
                <w:color w:val="000000"/>
                <w:szCs w:val="21"/>
              </w:rPr>
            </w:pPr>
            <w:r>
              <w:rPr>
                <w:rFonts w:hint="eastAsia" w:ascii="宋体" w:hAnsi="宋体" w:eastAsia="宋体" w:cs="宋体"/>
                <w:color w:val="000000"/>
                <w:szCs w:val="21"/>
                <w:lang w:val="en-US" w:eastAsia="zh-CN"/>
              </w:rPr>
              <w:t>运输</w:t>
            </w:r>
            <w:r>
              <w:rPr>
                <w:rFonts w:hint="eastAsia" w:ascii="宋体" w:hAnsi="宋体" w:eastAsia="宋体" w:cs="宋体"/>
                <w:color w:val="000000"/>
                <w:szCs w:val="21"/>
              </w:rPr>
              <w:t>汽车</w:t>
            </w:r>
          </w:p>
        </w:tc>
        <w:tc>
          <w:tcPr>
            <w:tcW w:w="1772" w:type="dxa"/>
            <w:noWrap w:val="0"/>
            <w:vAlign w:val="center"/>
          </w:tcPr>
          <w:p>
            <w:pPr>
              <w:jc w:val="center"/>
              <w:rPr>
                <w:rFonts w:hint="eastAsia" w:ascii="宋体" w:hAnsi="宋体" w:eastAsia="宋体" w:cs="宋体"/>
                <w:b w:val="0"/>
                <w:bCs w:val="0"/>
                <w:color w:val="000000"/>
                <w:szCs w:val="21"/>
                <w:lang w:val="en-US" w:eastAsia="zh-CN"/>
              </w:rPr>
            </w:pPr>
          </w:p>
        </w:tc>
        <w:tc>
          <w:tcPr>
            <w:tcW w:w="1290" w:type="dxa"/>
            <w:noWrap w:val="0"/>
            <w:vAlign w:val="center"/>
          </w:tcPr>
          <w:p>
            <w:pPr>
              <w:jc w:val="center"/>
              <w:rPr>
                <w:rFonts w:hint="eastAsia" w:ascii="宋体" w:hAnsi="宋体" w:eastAsia="宋体" w:cs="宋体"/>
                <w:b w:val="0"/>
                <w:bCs w:val="0"/>
                <w:szCs w:val="21"/>
                <w:lang w:val="en-US" w:eastAsia="zh-CN"/>
              </w:rPr>
            </w:pPr>
            <w:r>
              <w:rPr>
                <w:rFonts w:hint="eastAsia" w:ascii="宋体" w:hAnsi="宋体" w:eastAsia="宋体" w:cs="宋体"/>
                <w:color w:val="000000"/>
                <w:szCs w:val="21"/>
              </w:rPr>
              <w:t>辆</w:t>
            </w:r>
          </w:p>
        </w:tc>
        <w:tc>
          <w:tcPr>
            <w:tcW w:w="1697" w:type="dxa"/>
            <w:noWrap w:val="0"/>
            <w:vAlign w:val="center"/>
          </w:tcPr>
          <w:p>
            <w:pPr>
              <w:jc w:val="center"/>
              <w:rPr>
                <w:rFonts w:hint="eastAsia" w:ascii="宋体" w:hAnsi="宋体" w:eastAsia="宋体" w:cs="宋体"/>
                <w:b w:val="0"/>
                <w:bCs w:val="0"/>
                <w:szCs w:val="21"/>
              </w:rPr>
            </w:pPr>
            <w:r>
              <w:rPr>
                <w:rFonts w:hint="eastAsia" w:ascii="宋体" w:hAnsi="宋体" w:eastAsia="宋体" w:cs="宋体"/>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13" w:type="dxa"/>
            <w:noWrap w:val="0"/>
            <w:vAlign w:val="top"/>
          </w:tcPr>
          <w:p>
            <w:pPr>
              <w:spacing w:line="300" w:lineRule="exact"/>
              <w:jc w:val="center"/>
              <w:rPr>
                <w:rFonts w:hint="eastAsia" w:ascii="宋体" w:hAnsi="宋体" w:eastAsia="宋体" w:cs="宋体"/>
                <w:szCs w:val="21"/>
                <w:lang w:val="en-US" w:eastAsia="zh-CN"/>
              </w:rPr>
            </w:pPr>
            <w:r>
              <w:rPr>
                <w:rFonts w:hint="eastAsia" w:ascii="宋体" w:hAnsi="宋体" w:eastAsia="宋体" w:cs="宋体"/>
                <w:szCs w:val="21"/>
                <w:lang w:val="en-US" w:eastAsia="zh-CN"/>
              </w:rPr>
              <w:t>4</w:t>
            </w:r>
          </w:p>
        </w:tc>
        <w:tc>
          <w:tcPr>
            <w:tcW w:w="2923" w:type="dxa"/>
            <w:noWrap w:val="0"/>
            <w:vAlign w:val="center"/>
          </w:tcPr>
          <w:p>
            <w:pPr>
              <w:jc w:val="center"/>
              <w:rPr>
                <w:rFonts w:hint="default" w:ascii="宋体" w:hAnsi="宋体" w:eastAsia="宋体" w:cs="宋体"/>
                <w:color w:val="000000"/>
                <w:szCs w:val="21"/>
                <w:lang w:val="en-US" w:eastAsia="zh-CN"/>
              </w:rPr>
            </w:pPr>
            <w:r>
              <w:rPr>
                <w:rFonts w:hint="eastAsia" w:ascii="宋体" w:hAnsi="宋体" w:eastAsia="宋体" w:cs="宋体"/>
                <w:color w:val="000000"/>
                <w:szCs w:val="21"/>
                <w:lang w:val="en-US" w:eastAsia="zh-CN"/>
              </w:rPr>
              <w:t>变压器</w:t>
            </w:r>
            <w:r>
              <w:rPr>
                <w:rFonts w:hint="eastAsia" w:ascii="宋体" w:hAnsi="宋体"/>
                <w:color w:val="000000"/>
                <w:szCs w:val="21"/>
              </w:rPr>
              <w:t>变压（200kVA）</w:t>
            </w:r>
          </w:p>
        </w:tc>
        <w:tc>
          <w:tcPr>
            <w:tcW w:w="1772" w:type="dxa"/>
            <w:noWrap w:val="0"/>
            <w:vAlign w:val="center"/>
          </w:tcPr>
          <w:p>
            <w:pPr>
              <w:jc w:val="center"/>
              <w:rPr>
                <w:rFonts w:hint="eastAsia" w:ascii="宋体" w:hAnsi="宋体" w:eastAsia="宋体" w:cs="宋体"/>
                <w:b w:val="0"/>
                <w:bCs w:val="0"/>
                <w:color w:val="000000"/>
                <w:szCs w:val="21"/>
                <w:lang w:val="en-US" w:eastAsia="zh-CN"/>
              </w:rPr>
            </w:pPr>
          </w:p>
        </w:tc>
        <w:tc>
          <w:tcPr>
            <w:tcW w:w="1290" w:type="dxa"/>
            <w:noWrap w:val="0"/>
            <w:vAlign w:val="center"/>
          </w:tcPr>
          <w:p>
            <w:pPr>
              <w:jc w:val="center"/>
              <w:rPr>
                <w:rFonts w:hint="eastAsia" w:ascii="宋体" w:hAnsi="宋体" w:eastAsia="宋体" w:cs="宋体"/>
                <w:color w:val="000000"/>
                <w:szCs w:val="21"/>
              </w:rPr>
            </w:pPr>
          </w:p>
        </w:tc>
        <w:tc>
          <w:tcPr>
            <w:tcW w:w="1697" w:type="dxa"/>
            <w:noWrap w:val="0"/>
            <w:vAlign w:val="center"/>
          </w:tcPr>
          <w:p>
            <w:pPr>
              <w:jc w:val="center"/>
              <w:rPr>
                <w:rFonts w:hint="eastAsia" w:ascii="宋体" w:hAnsi="宋体" w:eastAsia="宋体" w:cs="宋体"/>
                <w:szCs w:val="21"/>
                <w:lang w:val="en-US" w:eastAsia="zh-CN"/>
              </w:rPr>
            </w:pPr>
            <w:r>
              <w:rPr>
                <w:rFonts w:hint="eastAsia" w:ascii="宋体" w:hAnsi="宋体" w:eastAsia="宋体" w:cs="宋体"/>
                <w:szCs w:val="21"/>
                <w:lang w:val="en-US" w:eastAsia="zh-CN"/>
              </w:rPr>
              <w:t>2</w:t>
            </w:r>
          </w:p>
        </w:tc>
      </w:tr>
    </w:tbl>
    <w:p>
      <w:pPr>
        <w:pStyle w:val="5"/>
        <w:bidi w:val="0"/>
        <w:rPr>
          <w:rFonts w:hint="eastAsia"/>
          <w:lang w:eastAsia="zh-CN"/>
        </w:rPr>
      </w:pPr>
      <w:bookmarkStart w:id="148" w:name="_Toc18439"/>
      <w:r>
        <w:rPr>
          <w:rFonts w:hint="eastAsia"/>
          <w:lang w:eastAsia="zh-CN"/>
        </w:rPr>
        <w:t>2.4.2总平面布置</w:t>
      </w:r>
      <w:bookmarkEnd w:id="148"/>
    </w:p>
    <w:p>
      <w:pPr>
        <w:pStyle w:val="6"/>
        <w:bidi w:val="0"/>
      </w:pPr>
      <w:bookmarkStart w:id="149" w:name="_Toc330116542"/>
      <w:r>
        <w:rPr>
          <w:rFonts w:hint="eastAsia"/>
        </w:rPr>
        <w:t>2.4.2.1设计情况</w:t>
      </w:r>
    </w:p>
    <w:bookmarkEnd w:id="149"/>
    <w:p>
      <w:pPr>
        <w:pStyle w:val="10"/>
        <w:keepNext w:val="0"/>
        <w:keepLines w:val="0"/>
        <w:pageBreakBefore w:val="0"/>
        <w:widowControl w:val="0"/>
        <w:kinsoku/>
        <w:wordWrap/>
        <w:overflowPunct/>
        <w:topLinePunct w:val="0"/>
        <w:autoSpaceDE/>
        <w:autoSpaceDN/>
        <w:bidi w:val="0"/>
        <w:adjustRightInd w:val="0"/>
        <w:snapToGrid/>
        <w:spacing w:line="500" w:lineRule="exact"/>
        <w:ind w:firstLine="560" w:firstLineChars="200"/>
        <w:textAlignment w:val="auto"/>
        <w:rPr>
          <w:rFonts w:hint="eastAsia" w:ascii="宋体" w:hAnsi="宋体" w:eastAsia="宋体" w:cs="宋体"/>
          <w:snapToGrid/>
          <w:sz w:val="28"/>
          <w:szCs w:val="28"/>
          <w:lang w:eastAsia="zh-CN"/>
        </w:rPr>
      </w:pPr>
      <w:r>
        <w:rPr>
          <w:rFonts w:hint="eastAsia" w:ascii="宋体" w:hAnsi="宋体" w:eastAsia="宋体" w:cs="宋体"/>
          <w:snapToGrid/>
          <w:sz w:val="28"/>
          <w:szCs w:val="28"/>
          <w:lang w:val="en-US" w:eastAsia="zh-CN"/>
        </w:rPr>
        <w:t>矿山总平面布置构成有：采场、矿部、堆料场、变压器、高位水池、沉砂池等。</w:t>
      </w:r>
    </w:p>
    <w:p>
      <w:pPr>
        <w:pStyle w:val="10"/>
        <w:keepNext w:val="0"/>
        <w:keepLines w:val="0"/>
        <w:pageBreakBefore w:val="0"/>
        <w:widowControl w:val="0"/>
        <w:kinsoku/>
        <w:wordWrap/>
        <w:overflowPunct/>
        <w:topLinePunct w:val="0"/>
        <w:autoSpaceDE/>
        <w:autoSpaceDN/>
        <w:bidi w:val="0"/>
        <w:adjustRightInd w:val="0"/>
        <w:snapToGrid/>
        <w:spacing w:line="500" w:lineRule="exact"/>
        <w:ind w:firstLine="560" w:firstLineChars="200"/>
        <w:textAlignment w:val="auto"/>
        <w:rPr>
          <w:rFonts w:hint="eastAsia" w:ascii="宋体" w:hAnsi="宋体" w:eastAsia="宋体" w:cs="宋体"/>
          <w:snapToGrid/>
          <w:sz w:val="28"/>
          <w:szCs w:val="28"/>
          <w:lang w:val="en-US" w:eastAsia="zh-CN"/>
        </w:rPr>
      </w:pPr>
      <w:r>
        <w:rPr>
          <w:rFonts w:hint="eastAsia" w:ascii="宋体" w:hAnsi="宋体" w:eastAsia="宋体" w:cs="宋体"/>
          <w:snapToGrid/>
          <w:sz w:val="28"/>
          <w:szCs w:val="28"/>
          <w:lang w:eastAsia="zh-CN"/>
        </w:rPr>
        <w:t>（</w:t>
      </w:r>
      <w:r>
        <w:rPr>
          <w:rFonts w:hint="eastAsia" w:ascii="宋体" w:hAnsi="宋体" w:eastAsia="宋体" w:cs="宋体"/>
          <w:snapToGrid/>
          <w:sz w:val="28"/>
          <w:szCs w:val="28"/>
          <w:lang w:val="en-US" w:eastAsia="zh-CN"/>
        </w:rPr>
        <w:t>1</w:t>
      </w:r>
      <w:r>
        <w:rPr>
          <w:rFonts w:hint="eastAsia" w:ascii="宋体" w:hAnsi="宋体" w:eastAsia="宋体" w:cs="宋体"/>
          <w:snapToGrid/>
          <w:sz w:val="28"/>
          <w:szCs w:val="28"/>
          <w:lang w:eastAsia="zh-CN"/>
        </w:rPr>
        <w:t>）</w:t>
      </w:r>
      <w:r>
        <w:rPr>
          <w:rFonts w:hint="eastAsia" w:ascii="宋体" w:hAnsi="宋体" w:eastAsia="宋体" w:cs="宋体"/>
          <w:snapToGrid/>
          <w:sz w:val="28"/>
          <w:szCs w:val="28"/>
        </w:rPr>
        <w:t>办公室生活区位于采场南面约132m，淤泥池位于采场南面约</w:t>
      </w:r>
      <w:r>
        <w:rPr>
          <w:rFonts w:hint="eastAsia" w:ascii="宋体" w:hAnsi="宋体" w:eastAsia="宋体" w:cs="宋体"/>
          <w:snapToGrid/>
          <w:sz w:val="28"/>
          <w:szCs w:val="28"/>
          <w:lang w:val="en-US" w:eastAsia="zh-CN"/>
        </w:rPr>
        <w:t>50</w:t>
      </w:r>
      <w:r>
        <w:rPr>
          <w:rFonts w:hint="eastAsia" w:ascii="宋体" w:hAnsi="宋体" w:eastAsia="宋体" w:cs="宋体"/>
          <w:snapToGrid/>
          <w:sz w:val="28"/>
          <w:szCs w:val="28"/>
        </w:rPr>
        <w:t>m</w:t>
      </w:r>
      <w:r>
        <w:rPr>
          <w:rFonts w:hint="eastAsia" w:ascii="宋体" w:hAnsi="宋体" w:eastAsia="宋体" w:cs="宋体"/>
          <w:snapToGrid/>
          <w:sz w:val="28"/>
          <w:szCs w:val="28"/>
          <w:lang w:eastAsia="zh-CN"/>
        </w:rPr>
        <w:t>，</w:t>
      </w:r>
      <w:r>
        <w:rPr>
          <w:rFonts w:hint="eastAsia" w:ascii="宋体" w:hAnsi="宋体" w:eastAsia="宋体" w:cs="宋体"/>
          <w:snapToGrid/>
          <w:sz w:val="28"/>
          <w:szCs w:val="28"/>
        </w:rPr>
        <w:t>变压器位于矿区东面约45m</w:t>
      </w:r>
      <w:r>
        <w:rPr>
          <w:rFonts w:hint="eastAsia" w:ascii="宋体" w:hAnsi="宋体" w:eastAsia="宋体" w:cs="宋体"/>
          <w:snapToGrid/>
          <w:sz w:val="28"/>
          <w:szCs w:val="28"/>
          <w:lang w:eastAsia="zh-CN"/>
        </w:rPr>
        <w:t>，</w:t>
      </w:r>
      <w:r>
        <w:rPr>
          <w:rFonts w:hint="eastAsia" w:ascii="宋体" w:hAnsi="宋体" w:eastAsia="宋体" w:cs="宋体"/>
          <w:snapToGrid/>
          <w:sz w:val="28"/>
          <w:szCs w:val="28"/>
          <w:lang w:val="en-US" w:eastAsia="zh-CN"/>
        </w:rPr>
        <w:t>破碎机和堆矿场布置在矿区南侧约20m处。</w:t>
      </w:r>
    </w:p>
    <w:p>
      <w:pPr>
        <w:pStyle w:val="10"/>
        <w:keepNext w:val="0"/>
        <w:keepLines w:val="0"/>
        <w:pageBreakBefore w:val="0"/>
        <w:widowControl w:val="0"/>
        <w:kinsoku/>
        <w:wordWrap/>
        <w:overflowPunct/>
        <w:topLinePunct w:val="0"/>
        <w:autoSpaceDE/>
        <w:autoSpaceDN/>
        <w:bidi w:val="0"/>
        <w:adjustRightInd w:val="0"/>
        <w:snapToGrid/>
        <w:spacing w:line="500" w:lineRule="exact"/>
        <w:ind w:firstLine="560" w:firstLineChars="200"/>
        <w:textAlignment w:val="auto"/>
        <w:rPr>
          <w:rFonts w:hint="eastAsia" w:ascii="宋体" w:hAnsi="宋体" w:eastAsia="宋体" w:cs="宋体"/>
          <w:snapToGrid/>
          <w:sz w:val="28"/>
          <w:szCs w:val="28"/>
          <w:lang w:eastAsia="zh-CN"/>
        </w:rPr>
      </w:pPr>
      <w:r>
        <w:rPr>
          <w:rFonts w:hint="eastAsia" w:ascii="宋体" w:hAnsi="宋体" w:eastAsia="宋体" w:cs="宋体"/>
          <w:snapToGrid/>
          <w:sz w:val="28"/>
          <w:szCs w:val="28"/>
          <w:lang w:eastAsia="zh-CN"/>
        </w:rPr>
        <w:t>（</w:t>
      </w:r>
      <w:r>
        <w:rPr>
          <w:rFonts w:hint="eastAsia" w:ascii="宋体" w:hAnsi="宋体" w:eastAsia="宋体" w:cs="宋体"/>
          <w:snapToGrid/>
          <w:sz w:val="28"/>
          <w:szCs w:val="28"/>
          <w:lang w:val="en-US" w:eastAsia="zh-CN"/>
        </w:rPr>
        <w:t>2</w:t>
      </w:r>
      <w:r>
        <w:rPr>
          <w:rFonts w:hint="eastAsia" w:ascii="宋体" w:hAnsi="宋体" w:eastAsia="宋体" w:cs="宋体"/>
          <w:snapToGrid/>
          <w:sz w:val="28"/>
          <w:szCs w:val="28"/>
          <w:lang w:eastAsia="zh-CN"/>
        </w:rPr>
        <w:t>）一级淤泥池为凹陷式淤泥池，一级淤泥池不设置拦渣坝。设计在原沉砂池下游设置拦渣坝。拦渣坝为碾压土坝，坝顶长</w:t>
      </w:r>
      <w:r>
        <w:rPr>
          <w:rFonts w:hint="eastAsia" w:ascii="宋体" w:hAnsi="宋体" w:eastAsia="宋体" w:cs="宋体"/>
          <w:snapToGrid/>
          <w:sz w:val="28"/>
          <w:szCs w:val="28"/>
          <w:lang w:val="en-US" w:eastAsia="zh-CN"/>
        </w:rPr>
        <w:t>78</w:t>
      </w:r>
      <w:r>
        <w:rPr>
          <w:rFonts w:hint="eastAsia" w:ascii="宋体" w:hAnsi="宋体" w:eastAsia="宋体" w:cs="宋体"/>
          <w:snapToGrid/>
          <w:sz w:val="28"/>
          <w:szCs w:val="28"/>
          <w:lang w:eastAsia="zh-CN"/>
        </w:rPr>
        <w:t>m，坝顶标高：</w:t>
      </w:r>
      <w:r>
        <w:rPr>
          <w:rFonts w:hint="eastAsia" w:ascii="宋体" w:hAnsi="宋体" w:eastAsia="宋体" w:cs="宋体"/>
          <w:snapToGrid/>
          <w:sz w:val="28"/>
          <w:szCs w:val="28"/>
          <w:lang w:val="en-US" w:eastAsia="zh-CN"/>
        </w:rPr>
        <w:t>1840m，</w:t>
      </w:r>
      <w:r>
        <w:rPr>
          <w:rFonts w:hint="eastAsia" w:ascii="宋体" w:hAnsi="宋体" w:eastAsia="宋体" w:cs="宋体"/>
          <w:snapToGrid/>
          <w:sz w:val="28"/>
          <w:szCs w:val="28"/>
          <w:lang w:eastAsia="zh-CN"/>
        </w:rPr>
        <w:t>坝顶宽</w:t>
      </w:r>
      <w:r>
        <w:rPr>
          <w:rFonts w:hint="eastAsia" w:ascii="宋体" w:hAnsi="宋体" w:eastAsia="宋体" w:cs="宋体"/>
          <w:snapToGrid/>
          <w:sz w:val="28"/>
          <w:szCs w:val="28"/>
          <w:lang w:val="en-US" w:eastAsia="zh-CN"/>
        </w:rPr>
        <w:t>4</w:t>
      </w:r>
      <w:r>
        <w:rPr>
          <w:rFonts w:hint="eastAsia" w:ascii="宋体" w:hAnsi="宋体" w:eastAsia="宋体" w:cs="宋体"/>
          <w:snapToGrid/>
          <w:sz w:val="28"/>
          <w:szCs w:val="28"/>
          <w:lang w:eastAsia="zh-CN"/>
        </w:rPr>
        <w:t>m</w:t>
      </w:r>
      <w:r>
        <w:rPr>
          <w:rFonts w:hint="eastAsia" w:ascii="宋体" w:hAnsi="宋体" w:eastAsia="宋体" w:cs="宋体"/>
          <w:snapToGrid/>
          <w:sz w:val="28"/>
          <w:szCs w:val="28"/>
          <w:lang w:val="en-US" w:eastAsia="zh-CN"/>
        </w:rPr>
        <w:t>。拦渣坝下设置挡土墙，挡土墙采用C20浆砌石浇筑，挡土墙总高2.5m，清基0.5m，总长57m，挡土墙顶宽1m。</w:t>
      </w:r>
    </w:p>
    <w:p>
      <w:pPr>
        <w:pStyle w:val="10"/>
        <w:keepNext w:val="0"/>
        <w:keepLines w:val="0"/>
        <w:pageBreakBefore w:val="0"/>
        <w:widowControl w:val="0"/>
        <w:kinsoku/>
        <w:wordWrap/>
        <w:overflowPunct/>
        <w:topLinePunct w:val="0"/>
        <w:autoSpaceDE/>
        <w:autoSpaceDN/>
        <w:bidi w:val="0"/>
        <w:adjustRightInd w:val="0"/>
        <w:snapToGrid/>
        <w:spacing w:line="500" w:lineRule="exact"/>
        <w:ind w:firstLine="560" w:firstLineChars="200"/>
        <w:textAlignment w:val="auto"/>
        <w:rPr>
          <w:rFonts w:hint="eastAsia" w:ascii="宋体" w:hAnsi="宋体" w:eastAsia="宋体" w:cs="宋体"/>
          <w:snapToGrid/>
          <w:sz w:val="28"/>
          <w:szCs w:val="28"/>
          <w:lang w:val="en-US" w:eastAsia="zh-CN"/>
        </w:rPr>
      </w:pPr>
      <w:r>
        <w:rPr>
          <w:rFonts w:hint="eastAsia" w:ascii="宋体" w:hAnsi="宋体" w:eastAsia="宋体" w:cs="宋体"/>
          <w:snapToGrid/>
          <w:sz w:val="28"/>
          <w:szCs w:val="28"/>
          <w:lang w:val="en-US" w:eastAsia="zh-CN"/>
        </w:rPr>
        <w:t>（3）矿山不需要设置排土场，矿山在开采过程中所产生的淤泥量、废土量运往云南牟定建材有限责任公司（共和红砖厂）与粘土参拌烧制红砖。</w:t>
      </w:r>
    </w:p>
    <w:p>
      <w:pPr>
        <w:pStyle w:val="10"/>
        <w:keepNext w:val="0"/>
        <w:keepLines w:val="0"/>
        <w:pageBreakBefore w:val="0"/>
        <w:widowControl w:val="0"/>
        <w:kinsoku/>
        <w:wordWrap/>
        <w:overflowPunct/>
        <w:topLinePunct w:val="0"/>
        <w:autoSpaceDE/>
        <w:autoSpaceDN/>
        <w:bidi w:val="0"/>
        <w:adjustRightInd w:val="0"/>
        <w:snapToGrid/>
        <w:spacing w:line="500" w:lineRule="exact"/>
        <w:ind w:firstLine="560" w:firstLineChars="200"/>
        <w:textAlignment w:val="auto"/>
        <w:rPr>
          <w:rFonts w:hint="eastAsia" w:ascii="宋体" w:hAnsi="宋体" w:eastAsia="宋体" w:cs="宋体"/>
          <w:snapToGrid/>
          <w:sz w:val="28"/>
          <w:szCs w:val="28"/>
          <w:lang w:val="en-US" w:eastAsia="zh-CN"/>
        </w:rPr>
      </w:pPr>
      <w:r>
        <w:rPr>
          <w:rFonts w:hint="eastAsia" w:ascii="宋体" w:hAnsi="宋体" w:eastAsia="宋体" w:cs="宋体"/>
          <w:snapToGrid/>
          <w:sz w:val="28"/>
          <w:szCs w:val="28"/>
          <w:lang w:val="en-US" w:eastAsia="zh-CN"/>
        </w:rPr>
        <w:t>（4）高位水池布置于矿区北部，1890m标高水平，距离采场约20m，容量100m³，负责对采场生产供水。</w:t>
      </w:r>
    </w:p>
    <w:p>
      <w:pPr>
        <w:pStyle w:val="6"/>
        <w:bidi w:val="0"/>
        <w:rPr>
          <w:rFonts w:ascii="宋体" w:hAnsi="宋体"/>
          <w:b/>
          <w:color w:val="auto"/>
          <w:szCs w:val="28"/>
        </w:rPr>
      </w:pPr>
      <w:r>
        <w:rPr>
          <w:rFonts w:hint="eastAsia"/>
        </w:rPr>
        <w:t>2.4.2.2现状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sz w:val="28"/>
          <w:szCs w:val="24"/>
        </w:rPr>
      </w:pPr>
      <w:r>
        <w:rPr>
          <w:rFonts w:hint="eastAsia" w:ascii="宋体" w:hAnsi="宋体"/>
          <w:sz w:val="28"/>
          <w:szCs w:val="24"/>
        </w:rPr>
        <w:t>矿区已开采多年，</w:t>
      </w:r>
      <w:r>
        <w:rPr>
          <w:rFonts w:hint="eastAsia" w:ascii="宋体" w:hAnsi="宋体"/>
          <w:sz w:val="28"/>
          <w:szCs w:val="24"/>
          <w:lang w:val="en-US" w:eastAsia="zh-CN"/>
        </w:rPr>
        <w:t>有</w:t>
      </w:r>
      <w:r>
        <w:rPr>
          <w:rFonts w:hint="eastAsia" w:ascii="宋体" w:hAnsi="宋体"/>
          <w:sz w:val="28"/>
          <w:szCs w:val="24"/>
        </w:rPr>
        <w:t>较为完善的矿石加工系统</w:t>
      </w:r>
      <w:r>
        <w:rPr>
          <w:rFonts w:hint="eastAsia" w:ascii="宋体" w:hAnsi="宋体"/>
          <w:sz w:val="28"/>
          <w:szCs w:val="24"/>
          <w:lang w:eastAsia="zh-CN"/>
        </w:rPr>
        <w:t>。</w:t>
      </w:r>
      <w:r>
        <w:rPr>
          <w:rFonts w:hint="default" w:ascii="Times New Roman" w:hAnsi="Times New Roman" w:cs="Times New Roman"/>
          <w:sz w:val="28"/>
          <w:szCs w:val="24"/>
        </w:rPr>
        <w:t>矿山总平面布置</w:t>
      </w:r>
      <w:r>
        <w:rPr>
          <w:rFonts w:hint="eastAsia" w:ascii="宋体" w:hAnsi="宋体"/>
          <w:sz w:val="28"/>
          <w:szCs w:val="24"/>
        </w:rPr>
        <w:t>由露天采</w:t>
      </w:r>
      <w:r>
        <w:rPr>
          <w:rFonts w:hint="eastAsia" w:ascii="宋体" w:hAnsi="宋体" w:eastAsia="宋体" w:cs="Times New Roman"/>
          <w:sz w:val="28"/>
          <w:szCs w:val="24"/>
          <w:lang w:val="en-US" w:eastAsia="zh-CN"/>
        </w:rPr>
        <w:t>场、堆土区、沉砂池、办</w:t>
      </w:r>
      <w:r>
        <w:rPr>
          <w:rFonts w:hint="eastAsia" w:ascii="宋体" w:hAnsi="宋体"/>
          <w:sz w:val="28"/>
          <w:szCs w:val="24"/>
        </w:rPr>
        <w:t>公区及辅助设施等组成。</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sz w:val="28"/>
          <w:szCs w:val="24"/>
        </w:rPr>
      </w:pPr>
      <w:r>
        <w:rPr>
          <w:rFonts w:hint="eastAsia" w:ascii="宋体" w:hAnsi="宋体"/>
          <w:sz w:val="28"/>
          <w:szCs w:val="24"/>
        </w:rPr>
        <w:t>（1）露天采场：</w:t>
      </w:r>
      <w:r>
        <w:rPr>
          <w:rFonts w:hint="eastAsia" w:ascii="宋体" w:hAnsi="宋体"/>
          <w:sz w:val="28"/>
          <w:szCs w:val="24"/>
          <w:lang w:val="en-US" w:eastAsia="zh-CN"/>
        </w:rPr>
        <w:t>当前露天</w:t>
      </w:r>
      <w:r>
        <w:rPr>
          <w:rFonts w:hint="eastAsia" w:ascii="宋体" w:hAnsi="宋体"/>
          <w:sz w:val="28"/>
          <w:szCs w:val="24"/>
        </w:rPr>
        <w:t>采场位于矿区</w:t>
      </w:r>
      <w:r>
        <w:rPr>
          <w:rFonts w:hint="eastAsia" w:ascii="宋体" w:hAnsi="宋体"/>
          <w:sz w:val="28"/>
          <w:szCs w:val="24"/>
          <w:lang w:val="en-US" w:eastAsia="zh-CN"/>
        </w:rPr>
        <w:t>东北</w:t>
      </w:r>
      <w:r>
        <w:rPr>
          <w:rFonts w:hint="eastAsia" w:ascii="宋体" w:hAnsi="宋体"/>
          <w:sz w:val="28"/>
          <w:szCs w:val="24"/>
        </w:rPr>
        <w:t>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sz w:val="28"/>
          <w:szCs w:val="24"/>
          <w:lang w:val="en-US" w:eastAsia="zh-CN"/>
        </w:rPr>
      </w:pPr>
      <w:r>
        <w:rPr>
          <w:rFonts w:hint="eastAsia" w:ascii="宋体" w:hAnsi="宋体"/>
          <w:sz w:val="28"/>
          <w:szCs w:val="24"/>
        </w:rPr>
        <w:t>（2）</w:t>
      </w:r>
      <w:r>
        <w:rPr>
          <w:rFonts w:hint="eastAsia" w:ascii="宋体" w:hAnsi="宋体" w:eastAsia="宋体" w:cs="Times New Roman"/>
          <w:sz w:val="28"/>
          <w:szCs w:val="24"/>
          <w:lang w:val="en-US" w:eastAsia="zh-CN"/>
        </w:rPr>
        <w:t>堆土区：位于矿区外南侧，距离矿区南侧边界约60m。</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sz w:val="28"/>
          <w:szCs w:val="24"/>
          <w:lang w:val="en-US" w:eastAsia="zh-CN"/>
        </w:rPr>
      </w:pPr>
      <w:r>
        <w:rPr>
          <w:rFonts w:hint="eastAsia" w:ascii="宋体" w:hAnsi="宋体" w:eastAsia="宋体" w:cs="Times New Roman"/>
          <w:sz w:val="28"/>
          <w:szCs w:val="24"/>
          <w:lang w:val="zh-TW" w:eastAsia="zh-CN"/>
        </w:rPr>
        <w:t>（</w:t>
      </w:r>
      <w:r>
        <w:rPr>
          <w:rFonts w:hint="eastAsia" w:ascii="宋体" w:hAnsi="宋体" w:eastAsia="宋体" w:cs="Times New Roman"/>
          <w:sz w:val="28"/>
          <w:szCs w:val="24"/>
          <w:lang w:val="en-US" w:eastAsia="zh-CN"/>
        </w:rPr>
        <w:t>3</w:t>
      </w:r>
      <w:r>
        <w:rPr>
          <w:rFonts w:hint="eastAsia" w:ascii="宋体" w:hAnsi="宋体" w:eastAsia="宋体" w:cs="Times New Roman"/>
          <w:sz w:val="28"/>
          <w:szCs w:val="24"/>
          <w:lang w:val="zh-TW" w:eastAsia="zh-CN"/>
        </w:rPr>
        <w:t>）</w:t>
      </w:r>
      <w:r>
        <w:rPr>
          <w:rFonts w:hint="eastAsia" w:ascii="宋体" w:hAnsi="宋体" w:eastAsia="宋体" w:cs="Times New Roman"/>
          <w:sz w:val="28"/>
          <w:szCs w:val="24"/>
          <w:lang w:val="en-US" w:eastAsia="zh-CN"/>
        </w:rPr>
        <w:t>沉砂池：一级淤泥池位于矿区西侧偏南位置。</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sz w:val="28"/>
          <w:szCs w:val="24"/>
          <w:lang w:val="en-US" w:eastAsia="zh-CN"/>
        </w:rPr>
      </w:pPr>
      <w:r>
        <w:rPr>
          <w:rFonts w:hint="eastAsia" w:ascii="宋体" w:hAnsi="宋体" w:eastAsia="宋体" w:cs="Times New Roman"/>
          <w:sz w:val="28"/>
          <w:szCs w:val="24"/>
          <w:lang w:val="en-US" w:eastAsia="zh-CN"/>
        </w:rPr>
        <w:t>（4）办公区：办公室位于矿区南面约132m。</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Times New Roman"/>
          <w:sz w:val="28"/>
          <w:szCs w:val="24"/>
          <w:lang w:val="en-US" w:eastAsia="zh-CN"/>
        </w:rPr>
      </w:pPr>
      <w:r>
        <w:rPr>
          <w:rFonts w:hint="eastAsia" w:ascii="宋体" w:hAnsi="宋体" w:eastAsia="宋体" w:cs="Times New Roman"/>
          <w:sz w:val="28"/>
          <w:szCs w:val="24"/>
          <w:lang w:val="en-US" w:eastAsia="zh-CN"/>
        </w:rPr>
        <w:t>（5）排土场：矿山未设置排土场。目前生产过程中产生的废土很少，主要用于</w:t>
      </w:r>
      <w:r>
        <w:rPr>
          <w:rFonts w:hint="default" w:ascii="Times New Roman" w:hAnsi="Times New Roman" w:cs="Times New Roman"/>
          <w:sz w:val="28"/>
          <w:szCs w:val="28"/>
          <w:lang w:val="en-US" w:eastAsia="zh-CN"/>
        </w:rPr>
        <w:t>矿山垫路</w:t>
      </w:r>
      <w:r>
        <w:rPr>
          <w:rFonts w:hint="eastAsia" w:ascii="Times New Roman" w:hAnsi="Times New Roman" w:cs="Times New Roman"/>
          <w:sz w:val="28"/>
          <w:szCs w:val="28"/>
          <w:lang w:val="en-US" w:eastAsia="zh-CN"/>
        </w:rPr>
        <w:t>。</w:t>
      </w:r>
    </w:p>
    <w:p>
      <w:pPr>
        <w:pStyle w:val="5"/>
        <w:bidi w:val="0"/>
        <w:rPr>
          <w:rFonts w:hint="eastAsia" w:ascii="宋体" w:hAnsi="宋体"/>
          <w:color w:val="auto"/>
          <w:kern w:val="2"/>
          <w:szCs w:val="28"/>
          <w:lang w:eastAsia="zh-CN" w:bidi="ar-SA"/>
        </w:rPr>
      </w:pPr>
      <w:bookmarkStart w:id="150" w:name="_Toc350324545"/>
      <w:bookmarkStart w:id="151" w:name="_Toc23545"/>
      <w:r>
        <w:rPr>
          <w:rFonts w:hint="eastAsia"/>
          <w:lang w:eastAsia="zh-CN"/>
        </w:rPr>
        <w:t>2.4.3开采范围</w:t>
      </w:r>
      <w:bookmarkEnd w:id="150"/>
      <w:bookmarkEnd w:id="151"/>
    </w:p>
    <w:p>
      <w:pPr>
        <w:autoSpaceDE w:val="0"/>
        <w:autoSpaceDN w:val="0"/>
        <w:adjustRightInd w:val="0"/>
        <w:snapToGrid w:val="0"/>
        <w:spacing w:line="500" w:lineRule="exact"/>
        <w:ind w:firstLine="560" w:firstLineChars="200"/>
        <w:rPr>
          <w:rFonts w:hint="eastAsia" w:ascii="宋体" w:hAnsi="宋体"/>
          <w:color w:val="000000"/>
          <w:sz w:val="28"/>
          <w:szCs w:val="28"/>
        </w:rPr>
      </w:pPr>
      <w:r>
        <w:rPr>
          <w:rFonts w:hint="eastAsia" w:ascii="宋体" w:hAnsi="宋体"/>
          <w:color w:val="000000"/>
          <w:sz w:val="28"/>
          <w:szCs w:val="28"/>
        </w:rPr>
        <w:t>1</w:t>
      </w:r>
      <w:r>
        <w:rPr>
          <w:rFonts w:hint="eastAsia" w:ascii="宋体" w:hAnsi="宋体"/>
          <w:color w:val="000000"/>
          <w:sz w:val="28"/>
          <w:szCs w:val="28"/>
          <w:lang w:eastAsia="zh-CN"/>
        </w:rPr>
        <w:t>.</w:t>
      </w:r>
      <w:r>
        <w:rPr>
          <w:rFonts w:hint="eastAsia" w:ascii="宋体" w:hAnsi="宋体"/>
          <w:color w:val="000000"/>
          <w:sz w:val="28"/>
          <w:szCs w:val="28"/>
        </w:rPr>
        <w:t>开采对象：建筑用砂</w:t>
      </w:r>
    </w:p>
    <w:p>
      <w:pPr>
        <w:autoSpaceDE w:val="0"/>
        <w:autoSpaceDN w:val="0"/>
        <w:adjustRightInd w:val="0"/>
        <w:snapToGrid w:val="0"/>
        <w:spacing w:line="500" w:lineRule="exact"/>
        <w:ind w:firstLine="560" w:firstLineChars="200"/>
        <w:rPr>
          <w:rFonts w:hint="eastAsia" w:ascii="宋体" w:hAnsi="宋体"/>
          <w:color w:val="000000"/>
          <w:sz w:val="28"/>
          <w:szCs w:val="28"/>
        </w:rPr>
      </w:pPr>
      <w:r>
        <w:rPr>
          <w:rFonts w:hint="eastAsia" w:ascii="宋体" w:hAnsi="宋体"/>
          <w:color w:val="000000"/>
          <w:sz w:val="28"/>
          <w:szCs w:val="28"/>
        </w:rPr>
        <w:t>2</w:t>
      </w:r>
      <w:r>
        <w:rPr>
          <w:rFonts w:hint="eastAsia" w:ascii="宋体" w:hAnsi="宋体"/>
          <w:color w:val="000000"/>
          <w:sz w:val="28"/>
          <w:szCs w:val="28"/>
          <w:lang w:eastAsia="zh-CN"/>
        </w:rPr>
        <w:t>.</w:t>
      </w:r>
      <w:r>
        <w:rPr>
          <w:rFonts w:hint="eastAsia" w:ascii="宋体" w:hAnsi="宋体"/>
          <w:color w:val="000000"/>
          <w:sz w:val="28"/>
          <w:szCs w:val="28"/>
        </w:rPr>
        <w:t>开采范围：矿山开采范围在采矿许可证批准开采范围内，开采方式为露天开采。</w:t>
      </w:r>
    </w:p>
    <w:p>
      <w:pPr>
        <w:autoSpaceDE w:val="0"/>
        <w:autoSpaceDN w:val="0"/>
        <w:adjustRightInd w:val="0"/>
        <w:snapToGrid w:val="0"/>
        <w:spacing w:line="500" w:lineRule="exact"/>
        <w:ind w:firstLine="560" w:firstLineChars="200"/>
        <w:rPr>
          <w:rFonts w:hint="eastAsia" w:ascii="宋体" w:hAnsi="宋体"/>
          <w:color w:val="000000"/>
          <w:sz w:val="28"/>
          <w:szCs w:val="28"/>
        </w:rPr>
      </w:pPr>
      <w:r>
        <w:rPr>
          <w:rFonts w:hint="eastAsia" w:ascii="宋体" w:hAnsi="宋体"/>
          <w:color w:val="000000"/>
          <w:sz w:val="28"/>
          <w:szCs w:val="28"/>
        </w:rPr>
        <w:t>3</w:t>
      </w:r>
      <w:r>
        <w:rPr>
          <w:rFonts w:hint="eastAsia" w:ascii="宋体" w:hAnsi="宋体"/>
          <w:color w:val="000000"/>
          <w:sz w:val="28"/>
          <w:szCs w:val="28"/>
          <w:lang w:eastAsia="zh-CN"/>
        </w:rPr>
        <w:t>.</w:t>
      </w:r>
      <w:r>
        <w:rPr>
          <w:rFonts w:hint="eastAsia" w:ascii="宋体" w:hAnsi="宋体"/>
          <w:color w:val="000000"/>
          <w:sz w:val="28"/>
          <w:szCs w:val="28"/>
        </w:rPr>
        <w:t>开采顺序：自上而下分台阶开采。</w:t>
      </w:r>
    </w:p>
    <w:p>
      <w:pPr>
        <w:pStyle w:val="5"/>
        <w:bidi w:val="0"/>
        <w:rPr>
          <w:rFonts w:hint="eastAsia"/>
          <w:lang w:eastAsia="zh-CN"/>
        </w:rPr>
      </w:pPr>
      <w:bookmarkStart w:id="152" w:name="_Toc467792775"/>
      <w:bookmarkStart w:id="153" w:name="_Toc359397658"/>
      <w:bookmarkStart w:id="154" w:name="_Toc502865182"/>
      <w:bookmarkStart w:id="155" w:name="_Toc17248"/>
      <w:bookmarkStart w:id="156" w:name="_Toc350324546"/>
      <w:r>
        <w:rPr>
          <w:rFonts w:hint="eastAsia"/>
          <w:lang w:eastAsia="zh-CN"/>
        </w:rPr>
        <w:t>2.4.4生产规模及工作制度</w:t>
      </w:r>
      <w:bookmarkEnd w:id="152"/>
      <w:bookmarkEnd w:id="153"/>
      <w:bookmarkEnd w:id="154"/>
      <w:bookmarkEnd w:id="155"/>
    </w:p>
    <w:p>
      <w:pPr>
        <w:spacing w:line="50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1</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产品方案</w:t>
      </w:r>
    </w:p>
    <w:p>
      <w:pPr>
        <w:spacing w:line="50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根据市场需求，砂场主要生产建筑用砂。</w:t>
      </w:r>
    </w:p>
    <w:p>
      <w:pPr>
        <w:spacing w:line="500" w:lineRule="exact"/>
        <w:ind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2</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工作制度</w:t>
      </w:r>
    </w:p>
    <w:p>
      <w:pPr>
        <w:spacing w:line="500" w:lineRule="exact"/>
        <w:ind w:firstLine="560" w:firstLineChars="200"/>
        <w:rPr>
          <w:rFonts w:hint="eastAsia" w:ascii="宋体" w:hAnsi="宋体" w:eastAsia="宋体" w:cs="宋体"/>
          <w:color w:val="auto"/>
          <w:sz w:val="28"/>
          <w:szCs w:val="28"/>
        </w:rPr>
      </w:pPr>
      <w:r>
        <w:rPr>
          <w:rFonts w:hint="eastAsia" w:ascii="宋体" w:hAnsi="宋体" w:eastAsia="宋体" w:cs="宋体"/>
          <w:color w:val="000000"/>
          <w:sz w:val="28"/>
          <w:szCs w:val="28"/>
        </w:rPr>
        <w:t>年工作300天，每天工作1班，每班8小时。</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0" w:firstLineChars="200"/>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rPr>
        <w:t>矿山生产规模</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u w:val="none" w:color="FFFFFF"/>
        </w:rPr>
        <w:t>生产规模：</w:t>
      </w:r>
      <w:r>
        <w:rPr>
          <w:rFonts w:hint="eastAsia" w:ascii="宋体" w:hAnsi="宋体" w:eastAsia="宋体" w:cs="宋体"/>
          <w:sz w:val="28"/>
          <w:szCs w:val="24"/>
          <w:lang w:val="en-US" w:eastAsia="zh-CN"/>
        </w:rPr>
        <w:t>2.42</w:t>
      </w:r>
      <w:r>
        <w:rPr>
          <w:rFonts w:hint="eastAsia" w:ascii="宋体" w:hAnsi="宋体" w:eastAsia="宋体" w:cs="宋体"/>
          <w:sz w:val="28"/>
          <w:szCs w:val="24"/>
        </w:rPr>
        <w:t>万</w:t>
      </w:r>
      <w:r>
        <w:rPr>
          <w:rFonts w:hint="eastAsia" w:ascii="宋体" w:hAnsi="宋体" w:eastAsia="宋体" w:cs="宋体"/>
          <w:sz w:val="28"/>
          <w:szCs w:val="24"/>
          <w:lang w:val="en-US" w:eastAsia="zh-CN"/>
        </w:rPr>
        <w:t>立方米</w:t>
      </w:r>
      <w:r>
        <w:rPr>
          <w:rFonts w:hint="eastAsia" w:ascii="宋体" w:hAnsi="宋体" w:eastAsia="宋体" w:cs="宋体"/>
          <w:sz w:val="28"/>
          <w:szCs w:val="24"/>
        </w:rPr>
        <w:t>/年</w:t>
      </w:r>
      <w:r>
        <w:rPr>
          <w:rFonts w:hint="eastAsia" w:ascii="宋体" w:hAnsi="宋体" w:eastAsia="宋体" w:cs="宋体"/>
          <w:color w:val="auto"/>
          <w:sz w:val="28"/>
          <w:szCs w:val="28"/>
          <w:u w:val="none" w:color="FFFFFF"/>
        </w:rPr>
        <w:t>。</w:t>
      </w:r>
    </w:p>
    <w:p>
      <w:pPr>
        <w:pStyle w:val="5"/>
        <w:bidi w:val="0"/>
        <w:rPr>
          <w:rFonts w:hint="default"/>
          <w:lang w:val="en-US" w:eastAsia="zh-CN"/>
        </w:rPr>
      </w:pPr>
      <w:bookmarkStart w:id="157" w:name="_Toc31721"/>
      <w:r>
        <w:rPr>
          <w:rFonts w:hint="eastAsia"/>
          <w:lang w:eastAsia="zh-CN"/>
        </w:rPr>
        <w:t>2.4.5</w:t>
      </w:r>
      <w:r>
        <w:rPr>
          <w:rFonts w:hint="eastAsia"/>
          <w:lang w:val="en-US" w:eastAsia="zh-CN"/>
        </w:rPr>
        <w:t>采剥工艺</w:t>
      </w:r>
      <w:bookmarkEnd w:id="157"/>
    </w:p>
    <w:p>
      <w:pPr>
        <w:pStyle w:val="6"/>
        <w:bidi w:val="0"/>
        <w:rPr>
          <w:rFonts w:hint="default"/>
          <w:lang w:val="en-US" w:eastAsia="zh-CN"/>
        </w:rPr>
      </w:pPr>
      <w:r>
        <w:rPr>
          <w:rFonts w:hint="eastAsia"/>
        </w:rPr>
        <w:t>2.4.5.1</w:t>
      </w:r>
      <w:r>
        <w:rPr>
          <w:rFonts w:hint="eastAsia"/>
          <w:lang w:val="en-US" w:eastAsia="zh-CN"/>
        </w:rPr>
        <w:t>设计情况</w:t>
      </w:r>
    </w:p>
    <w:p>
      <w:pPr>
        <w:spacing w:line="500" w:lineRule="exact"/>
        <w:ind w:firstLine="560"/>
        <w:rPr>
          <w:rFonts w:hint="eastAsia" w:ascii="宋体" w:hAnsi="宋体" w:cs="宋体"/>
          <w:color w:val="000000"/>
          <w:sz w:val="28"/>
          <w:szCs w:val="28"/>
        </w:rPr>
      </w:pPr>
      <w:r>
        <w:rPr>
          <w:rFonts w:hint="eastAsia" w:ascii="宋体" w:hAnsi="宋体" w:cs="宋体"/>
          <w:color w:val="000000"/>
          <w:sz w:val="28"/>
          <w:szCs w:val="28"/>
        </w:rPr>
        <w:t>矿岩不需爆破，可用挖掘机直接进行开采。矿山采剥工艺为</w:t>
      </w:r>
      <w:r>
        <w:rPr>
          <w:rFonts w:ascii="宋体" w:hAnsi="宋体" w:cs="宋体"/>
          <w:color w:val="000000"/>
          <w:sz w:val="28"/>
          <w:szCs w:val="28"/>
        </w:rPr>
        <w:t>用挖掘机采剥，汽车运输</w:t>
      </w:r>
      <w:r>
        <w:rPr>
          <w:rFonts w:hint="eastAsia" w:ascii="宋体" w:hAnsi="宋体" w:cs="宋体"/>
          <w:color w:val="000000"/>
          <w:sz w:val="28"/>
          <w:szCs w:val="28"/>
        </w:rPr>
        <w:t>破碎机口，然后采用水枪进行冲洗，淤泥随水沿泥浆沟流进沉砂池</w:t>
      </w:r>
      <w:r>
        <w:rPr>
          <w:rFonts w:ascii="宋体" w:hAnsi="宋体" w:cs="宋体"/>
          <w:color w:val="000000"/>
          <w:sz w:val="28"/>
          <w:szCs w:val="28"/>
        </w:rPr>
        <w:t>。</w:t>
      </w:r>
    </w:p>
    <w:p>
      <w:pPr>
        <w:spacing w:line="500" w:lineRule="exact"/>
        <w:ind w:firstLine="560"/>
        <w:rPr>
          <w:rFonts w:hint="eastAsia" w:ascii="宋体" w:hAnsi="宋体" w:cs="宋体"/>
          <w:color w:val="000000"/>
          <w:sz w:val="28"/>
          <w:szCs w:val="28"/>
        </w:rPr>
      </w:pPr>
      <w:r>
        <w:rPr>
          <w:rFonts w:ascii="宋体" w:hAnsi="宋体" w:cs="宋体"/>
          <w:color w:val="000000"/>
          <w:sz w:val="28"/>
          <w:szCs w:val="28"/>
        </w:rPr>
        <w:t>据矿区地形情况，确定采用山坡露天分台阶开采，即上一台阶推至最终境界后，下一台阶掘沟，进行新水平延伸。台阶内沿山体走向进行开采，以保证矿山生产的连续性和安全性。</w:t>
      </w:r>
    </w:p>
    <w:p>
      <w:pPr>
        <w:spacing w:line="500" w:lineRule="exact"/>
        <w:ind w:firstLine="560"/>
        <w:rPr>
          <w:rFonts w:ascii="宋体" w:hAnsi="宋体" w:cs="宋体"/>
          <w:color w:val="000000"/>
          <w:sz w:val="28"/>
          <w:szCs w:val="28"/>
        </w:rPr>
      </w:pPr>
      <w:r>
        <w:rPr>
          <w:rFonts w:ascii="宋体" w:hAnsi="宋体" w:cs="宋体"/>
          <w:color w:val="000000"/>
          <w:sz w:val="28"/>
          <w:szCs w:val="28"/>
        </w:rPr>
        <w:t>山坡露天新水平准备时，沿地形等高线开掘单壁沟，扩帮后由东向西方向推进。</w:t>
      </w:r>
    </w:p>
    <w:p>
      <w:pPr>
        <w:spacing w:line="500" w:lineRule="exact"/>
        <w:ind w:firstLine="560"/>
        <w:rPr>
          <w:rFonts w:hint="eastAsia" w:ascii="宋体" w:hAnsi="宋体" w:cs="宋体"/>
          <w:color w:val="000000"/>
          <w:sz w:val="28"/>
          <w:szCs w:val="28"/>
        </w:rPr>
      </w:pPr>
      <w:r>
        <w:rPr>
          <w:rFonts w:ascii="宋体" w:hAnsi="宋体" w:cs="宋体"/>
          <w:color w:val="000000"/>
          <w:sz w:val="28"/>
          <w:szCs w:val="28"/>
        </w:rPr>
        <w:t>开采作业工作面参数构成如下：</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采场最低开采标高</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000000"/>
          <w:sz w:val="28"/>
          <w:szCs w:val="28"/>
        </w:rPr>
        <w:t>1845</w:t>
      </w:r>
      <w:r>
        <w:rPr>
          <w:rFonts w:hint="eastAsia" w:ascii="宋体" w:hAnsi="宋体" w:eastAsia="宋体" w:cs="宋体"/>
          <w:color w:val="auto"/>
          <w:sz w:val="28"/>
          <w:szCs w:val="28"/>
        </w:rPr>
        <w:t>m</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采场最高开采标高</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000000"/>
          <w:sz w:val="28"/>
          <w:szCs w:val="28"/>
        </w:rPr>
        <w:t>1888</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0" w:firstLineChars="200"/>
        <w:textAlignment w:val="auto"/>
        <w:rPr>
          <w:rFonts w:ascii="宋体" w:hAnsi="宋体"/>
          <w:color w:val="000000"/>
          <w:sz w:val="28"/>
          <w:szCs w:val="28"/>
        </w:rPr>
      </w:pPr>
      <w:r>
        <w:rPr>
          <w:rFonts w:hint="eastAsia" w:ascii="宋体" w:hAnsi="宋体" w:eastAsia="宋体" w:cs="宋体"/>
          <w:color w:val="auto"/>
          <w:sz w:val="28"/>
          <w:szCs w:val="28"/>
        </w:rPr>
        <w:t>露天采场最大采高</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 xml:space="preserve">     43</w:t>
      </w:r>
      <w:r>
        <w:rPr>
          <w:rFonts w:hint="eastAsia" w:ascii="宋体" w:hAnsi="宋体" w:eastAsia="宋体" w:cs="宋体"/>
          <w:color w:val="auto"/>
          <w:sz w:val="28"/>
          <w:szCs w:val="28"/>
        </w:rPr>
        <w:t>m</w:t>
      </w:r>
    </w:p>
    <w:p>
      <w:pPr>
        <w:spacing w:line="500" w:lineRule="exact"/>
        <w:ind w:firstLine="560" w:firstLineChars="200"/>
        <w:rPr>
          <w:rFonts w:ascii="宋体" w:hAnsi="宋体"/>
          <w:color w:val="000000"/>
          <w:sz w:val="28"/>
          <w:szCs w:val="28"/>
        </w:rPr>
      </w:pPr>
      <w:r>
        <w:rPr>
          <w:rFonts w:ascii="宋体" w:hAnsi="宋体"/>
          <w:color w:val="000000"/>
          <w:sz w:val="28"/>
          <w:szCs w:val="28"/>
        </w:rPr>
        <w:t xml:space="preserve">工作台阶高度：     </w:t>
      </w:r>
      <w:r>
        <w:rPr>
          <w:rFonts w:hint="eastAsia" w:ascii="宋体" w:hAnsi="宋体"/>
          <w:color w:val="000000"/>
          <w:sz w:val="28"/>
          <w:szCs w:val="28"/>
          <w:lang w:val="en-US" w:eastAsia="zh-CN"/>
        </w:rPr>
        <w:t xml:space="preserve">   </w:t>
      </w:r>
      <w:r>
        <w:rPr>
          <w:rFonts w:ascii="宋体" w:hAnsi="宋体"/>
          <w:color w:val="000000"/>
          <w:sz w:val="28"/>
          <w:szCs w:val="28"/>
        </w:rPr>
        <w:t xml:space="preserve"> </w:t>
      </w:r>
      <w:r>
        <w:rPr>
          <w:rFonts w:hint="eastAsia" w:ascii="宋体" w:hAnsi="宋体"/>
          <w:color w:val="000000"/>
          <w:sz w:val="28"/>
          <w:szCs w:val="28"/>
        </w:rPr>
        <w:t>7</w:t>
      </w:r>
      <w:r>
        <w:rPr>
          <w:rFonts w:ascii="宋体" w:hAnsi="宋体"/>
          <w:color w:val="000000"/>
          <w:sz w:val="28"/>
          <w:szCs w:val="28"/>
        </w:rPr>
        <w:t>m</w:t>
      </w:r>
    </w:p>
    <w:p>
      <w:pPr>
        <w:spacing w:line="500" w:lineRule="exact"/>
        <w:ind w:firstLine="560" w:firstLineChars="200"/>
        <w:rPr>
          <w:rFonts w:ascii="宋体" w:hAnsi="宋体"/>
          <w:color w:val="000000"/>
          <w:sz w:val="28"/>
          <w:szCs w:val="28"/>
        </w:rPr>
      </w:pPr>
      <w:r>
        <w:rPr>
          <w:rFonts w:ascii="宋体" w:hAnsi="宋体"/>
          <w:color w:val="000000"/>
          <w:sz w:val="28"/>
          <w:szCs w:val="28"/>
        </w:rPr>
        <w:t xml:space="preserve">台阶坡面角：    </w:t>
      </w:r>
      <w:r>
        <w:rPr>
          <w:rFonts w:hint="eastAsia" w:ascii="宋体" w:hAnsi="宋体"/>
          <w:color w:val="000000"/>
          <w:sz w:val="28"/>
          <w:szCs w:val="28"/>
        </w:rPr>
        <w:t xml:space="preserve">     </w:t>
      </w:r>
      <w:r>
        <w:rPr>
          <w:rFonts w:hint="eastAsia" w:ascii="宋体" w:hAnsi="宋体"/>
          <w:color w:val="000000"/>
          <w:sz w:val="28"/>
          <w:szCs w:val="28"/>
          <w:lang w:val="en-US" w:eastAsia="zh-CN"/>
        </w:rPr>
        <w:t xml:space="preserve">  </w:t>
      </w:r>
      <w:r>
        <w:rPr>
          <w:rFonts w:hint="eastAsia" w:ascii="宋体" w:hAnsi="宋体"/>
          <w:color w:val="000000"/>
          <w:sz w:val="28"/>
          <w:szCs w:val="28"/>
        </w:rPr>
        <w:t>55</w:t>
      </w:r>
      <w:r>
        <w:rPr>
          <w:rFonts w:ascii="宋体" w:hAnsi="宋体"/>
          <w:color w:val="000000"/>
          <w:sz w:val="28"/>
          <w:szCs w:val="28"/>
        </w:rPr>
        <w:t>°</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安全平台宽度：</w:t>
      </w:r>
      <w:r>
        <w:rPr>
          <w:rFonts w:hint="eastAsia" w:ascii="宋体" w:hAnsi="宋体" w:cs="Times New Roman"/>
          <w:color w:val="auto"/>
          <w:sz w:val="28"/>
          <w:szCs w:val="28"/>
          <w:lang w:val="en-US" w:eastAsia="zh-CN"/>
        </w:rPr>
        <w:t xml:space="preserve">         </w:t>
      </w:r>
      <w:r>
        <w:rPr>
          <w:rFonts w:hint="eastAsia" w:ascii="宋体" w:hAnsi="宋体" w:eastAsia="宋体" w:cs="Times New Roman"/>
          <w:color w:val="auto"/>
          <w:sz w:val="28"/>
          <w:szCs w:val="28"/>
        </w:rPr>
        <w:t>4m</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0" w:firstLineChars="200"/>
        <w:textAlignment w:val="auto"/>
        <w:rPr>
          <w:rFonts w:ascii="宋体" w:hAnsi="宋体"/>
          <w:color w:val="000000"/>
          <w:sz w:val="28"/>
          <w:szCs w:val="28"/>
        </w:rPr>
      </w:pPr>
      <w:r>
        <w:rPr>
          <w:rFonts w:hint="eastAsia" w:ascii="宋体" w:hAnsi="宋体" w:eastAsia="宋体" w:cs="Times New Roman"/>
          <w:color w:val="auto"/>
          <w:sz w:val="28"/>
          <w:szCs w:val="28"/>
        </w:rPr>
        <w:t>清扫平台宽度：</w:t>
      </w:r>
      <w:r>
        <w:rPr>
          <w:rFonts w:hint="eastAsia" w:ascii="宋体" w:hAnsi="宋体" w:cs="Times New Roman"/>
          <w:color w:val="auto"/>
          <w:sz w:val="28"/>
          <w:szCs w:val="28"/>
          <w:lang w:val="en-US" w:eastAsia="zh-CN"/>
        </w:rPr>
        <w:t xml:space="preserve">         </w:t>
      </w:r>
      <w:r>
        <w:rPr>
          <w:rFonts w:hint="eastAsia" w:ascii="宋体" w:hAnsi="宋体" w:eastAsia="宋体" w:cs="Times New Roman"/>
          <w:color w:val="auto"/>
          <w:sz w:val="28"/>
          <w:szCs w:val="28"/>
        </w:rPr>
        <w:t>6m</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0" w:firstLineChars="200"/>
        <w:textAlignment w:val="auto"/>
        <w:rPr>
          <w:rFonts w:ascii="宋体" w:hAnsi="宋体"/>
          <w:color w:val="000000"/>
          <w:sz w:val="28"/>
          <w:szCs w:val="28"/>
        </w:rPr>
      </w:pPr>
      <w:r>
        <w:rPr>
          <w:rFonts w:ascii="宋体" w:hAnsi="宋体"/>
          <w:color w:val="000000"/>
          <w:sz w:val="28"/>
          <w:szCs w:val="28"/>
        </w:rPr>
        <w:t xml:space="preserve">最小工作平台宽度：  </w:t>
      </w:r>
      <w:r>
        <w:rPr>
          <w:rFonts w:hint="eastAsia" w:ascii="宋体" w:hAnsi="宋体"/>
          <w:color w:val="000000"/>
          <w:sz w:val="28"/>
          <w:szCs w:val="28"/>
          <w:lang w:val="en-US" w:eastAsia="zh-CN"/>
        </w:rPr>
        <w:t xml:space="preserve">  </w:t>
      </w:r>
      <w:r>
        <w:rPr>
          <w:rFonts w:ascii="宋体" w:hAnsi="宋体"/>
          <w:color w:val="000000"/>
          <w:sz w:val="28"/>
          <w:szCs w:val="28"/>
        </w:rPr>
        <w:t>1</w:t>
      </w:r>
      <w:r>
        <w:rPr>
          <w:rFonts w:hint="eastAsia" w:ascii="宋体" w:hAnsi="宋体"/>
          <w:color w:val="000000"/>
          <w:sz w:val="28"/>
          <w:szCs w:val="28"/>
        </w:rPr>
        <w:t>6</w:t>
      </w:r>
      <w:r>
        <w:rPr>
          <w:rFonts w:ascii="宋体" w:hAnsi="宋体"/>
          <w:color w:val="000000"/>
          <w:sz w:val="28"/>
          <w:szCs w:val="28"/>
        </w:rPr>
        <w:t>m</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color w:val="000000"/>
          <w:sz w:val="28"/>
          <w:szCs w:val="28"/>
          <w:lang w:val="en-US" w:eastAsia="zh-CN"/>
        </w:rPr>
      </w:pPr>
      <w:r>
        <w:rPr>
          <w:rFonts w:hint="eastAsia" w:ascii="宋体" w:hAnsi="宋体"/>
          <w:color w:val="000000"/>
          <w:sz w:val="28"/>
          <w:szCs w:val="28"/>
          <w:lang w:val="en-US" w:eastAsia="zh-CN"/>
        </w:rPr>
        <w:t>最终边坡角：          40°</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0" w:firstLineChars="200"/>
        <w:textAlignment w:val="auto"/>
        <w:rPr>
          <w:rFonts w:hint="default" w:ascii="宋体" w:hAnsi="宋体"/>
          <w:color w:val="000000"/>
          <w:sz w:val="28"/>
          <w:szCs w:val="28"/>
          <w:lang w:val="en-US" w:eastAsia="zh-CN"/>
        </w:rPr>
      </w:pPr>
      <w:r>
        <w:rPr>
          <w:rFonts w:hint="eastAsia" w:ascii="宋体" w:hAnsi="宋体"/>
          <w:color w:val="000000"/>
          <w:sz w:val="28"/>
          <w:szCs w:val="28"/>
          <w:lang w:val="en-US" w:eastAsia="zh-CN"/>
        </w:rPr>
        <w:t>台阶高度：            7m（底部台阶8m）</w:t>
      </w:r>
    </w:p>
    <w:p>
      <w:pPr>
        <w:wordWrap/>
        <w:topLinePunct w:val="0"/>
        <w:bidi w:val="0"/>
        <w:spacing w:line="500" w:lineRule="exact"/>
        <w:ind w:firstLine="560" w:firstLineChars="200"/>
        <w:textAlignment w:val="auto"/>
        <w:outlineLvl w:val="3"/>
        <w:rPr>
          <w:rFonts w:hint="eastAsia" w:ascii="宋体" w:hAnsi="宋体" w:eastAsia="宋体" w:cs="Times New Roman"/>
          <w:b/>
          <w:color w:val="auto"/>
          <w:sz w:val="28"/>
          <w:szCs w:val="28"/>
        </w:rPr>
      </w:pPr>
      <w:r>
        <w:rPr>
          <w:rFonts w:hint="eastAsia" w:ascii="宋体" w:hAnsi="宋体" w:eastAsia="宋体" w:cs="Times New Roman"/>
          <w:b/>
          <w:color w:val="auto"/>
          <w:sz w:val="28"/>
          <w:szCs w:val="28"/>
        </w:rPr>
        <w:t>2.4.5.</w:t>
      </w:r>
      <w:r>
        <w:rPr>
          <w:rFonts w:hint="eastAsia" w:ascii="宋体" w:hAnsi="宋体" w:cs="Times New Roman"/>
          <w:b/>
          <w:color w:val="auto"/>
          <w:sz w:val="28"/>
          <w:szCs w:val="28"/>
          <w:lang w:val="en-US" w:eastAsia="zh-CN"/>
        </w:rPr>
        <w:t>2</w:t>
      </w:r>
      <w:r>
        <w:rPr>
          <w:rFonts w:hint="eastAsia" w:ascii="宋体" w:hAnsi="宋体" w:eastAsia="宋体" w:cs="Times New Roman"/>
          <w:b/>
          <w:color w:val="auto"/>
          <w:sz w:val="28"/>
          <w:szCs w:val="28"/>
          <w:lang w:val="en-US" w:eastAsia="zh-CN"/>
        </w:rPr>
        <w:t>现状</w:t>
      </w:r>
    </w:p>
    <w:p>
      <w:pPr>
        <w:spacing w:line="500" w:lineRule="exact"/>
        <w:ind w:firstLine="560" w:firstLineChars="200"/>
        <w:rPr>
          <w:rFonts w:hint="eastAsia" w:ascii="宋体" w:hAnsi="宋体" w:eastAsia="宋体" w:cs="宋体"/>
          <w:sz w:val="28"/>
          <w:szCs w:val="24"/>
          <w:lang w:val="en-US" w:eastAsia="zh-CN"/>
        </w:rPr>
      </w:pPr>
      <w:r>
        <w:rPr>
          <w:rFonts w:hint="eastAsia" w:ascii="宋体" w:hAnsi="宋体" w:eastAsia="宋体" w:cs="宋体"/>
          <w:sz w:val="28"/>
          <w:szCs w:val="24"/>
        </w:rPr>
        <w:t>现场勘查，</w:t>
      </w:r>
      <w:r>
        <w:rPr>
          <w:rFonts w:hint="eastAsia" w:ascii="宋体" w:hAnsi="宋体" w:eastAsia="宋体" w:cs="Times New Roman"/>
          <w:color w:val="auto"/>
          <w:sz w:val="28"/>
          <w:szCs w:val="28"/>
        </w:rPr>
        <w:t>矿山按安全设施设计自上而下分台阶开采</w:t>
      </w:r>
      <w:r>
        <w:rPr>
          <w:rFonts w:hint="eastAsia" w:ascii="宋体" w:hAnsi="宋体" w:cs="Times New Roman"/>
          <w:color w:val="auto"/>
          <w:sz w:val="28"/>
          <w:szCs w:val="28"/>
          <w:lang w:eastAsia="zh-CN"/>
        </w:rPr>
        <w:t>，</w:t>
      </w:r>
      <w:r>
        <w:rPr>
          <w:rFonts w:hint="eastAsia" w:ascii="宋体" w:hAnsi="宋体" w:eastAsia="宋体" w:cs="宋体"/>
          <w:sz w:val="28"/>
          <w:szCs w:val="24"/>
          <w:lang w:val="en-US" w:eastAsia="zh-CN"/>
        </w:rPr>
        <w:t>各</w:t>
      </w:r>
      <w:r>
        <w:rPr>
          <w:rFonts w:hint="eastAsia" w:ascii="宋体" w:hAnsi="宋体" w:eastAsia="宋体" w:cs="宋体"/>
          <w:sz w:val="28"/>
          <w:szCs w:val="24"/>
        </w:rPr>
        <w:t>平台</w:t>
      </w:r>
      <w:r>
        <w:rPr>
          <w:rFonts w:hint="eastAsia" w:ascii="宋体" w:hAnsi="宋体" w:eastAsia="宋体" w:cs="宋体"/>
          <w:sz w:val="28"/>
          <w:szCs w:val="24"/>
          <w:lang w:val="en-US" w:eastAsia="zh-CN"/>
        </w:rPr>
        <w:t>情况如下表。</w:t>
      </w:r>
    </w:p>
    <w:p>
      <w:pPr>
        <w:wordWrap/>
        <w:topLinePunct w:val="0"/>
        <w:bidi w:val="0"/>
        <w:spacing w:line="500" w:lineRule="exact"/>
        <w:ind w:firstLine="480"/>
        <w:jc w:val="center"/>
        <w:textAlignment w:val="auto"/>
        <w:outlineLvl w:val="9"/>
        <w:rPr>
          <w:rFonts w:hint="eastAsia" w:ascii="宋体" w:hAnsi="宋体"/>
          <w:b/>
          <w:color w:val="auto"/>
          <w:sz w:val="24"/>
        </w:rPr>
      </w:pPr>
      <w:r>
        <w:rPr>
          <w:rFonts w:hint="eastAsia" w:ascii="宋体" w:hAnsi="宋体"/>
          <w:b/>
          <w:color w:val="auto"/>
          <w:sz w:val="24"/>
          <w:lang w:val="en-US" w:eastAsia="zh-CN"/>
        </w:rPr>
        <w:t xml:space="preserve">表2-3 </w:t>
      </w:r>
      <w:r>
        <w:rPr>
          <w:rFonts w:hint="eastAsia" w:ascii="宋体" w:hAnsi="宋体"/>
          <w:b/>
          <w:color w:val="auto"/>
          <w:sz w:val="24"/>
        </w:rPr>
        <w:t>采场台阶参数表</w:t>
      </w:r>
    </w:p>
    <w:tbl>
      <w:tblPr>
        <w:tblStyle w:val="35"/>
        <w:tblW w:w="4738" w:type="pct"/>
        <w:tblInd w:w="2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5"/>
        <w:gridCol w:w="1616"/>
        <w:gridCol w:w="1820"/>
        <w:gridCol w:w="2181"/>
        <w:gridCol w:w="1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exact"/>
        </w:trPr>
        <w:tc>
          <w:tcPr>
            <w:tcW w:w="5000" w:type="pct"/>
            <w:gridSpan w:val="5"/>
            <w:noWrap w:val="0"/>
            <w:vAlign w:val="center"/>
          </w:tcPr>
          <w:p>
            <w:pPr>
              <w:wordWrap/>
              <w:topLinePunct w:val="0"/>
              <w:bidi w:val="0"/>
              <w:spacing w:line="240" w:lineRule="auto"/>
              <w:jc w:val="center"/>
              <w:textAlignment w:val="auto"/>
              <w:rPr>
                <w:rFonts w:hint="eastAsia" w:ascii="宋体" w:hAnsi="宋体" w:eastAsia="宋体" w:cs="宋体"/>
                <w:b/>
                <w:snapToGrid w:val="0"/>
                <w:color w:val="auto"/>
                <w:kern w:val="0"/>
                <w:sz w:val="21"/>
                <w:szCs w:val="21"/>
                <w:lang w:val="en-US" w:eastAsia="zh-CN"/>
              </w:rPr>
            </w:pPr>
            <w:r>
              <w:rPr>
                <w:rFonts w:hint="eastAsia" w:ascii="宋体" w:hAnsi="宋体" w:eastAsia="宋体" w:cs="宋体"/>
                <w:b/>
                <w:snapToGrid w:val="0"/>
                <w:color w:val="auto"/>
                <w:kern w:val="0"/>
                <w:sz w:val="21"/>
                <w:szCs w:val="21"/>
                <w:lang w:val="en-US" w:eastAsia="zh-CN"/>
              </w:rPr>
              <w:t>西北侧采场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exact"/>
        </w:trPr>
        <w:tc>
          <w:tcPr>
            <w:tcW w:w="690" w:type="pct"/>
            <w:noWrap w:val="0"/>
            <w:vAlign w:val="center"/>
          </w:tcPr>
          <w:p>
            <w:pPr>
              <w:wordWrap/>
              <w:topLinePunct w:val="0"/>
              <w:bidi w:val="0"/>
              <w:spacing w:line="240" w:lineRule="auto"/>
              <w:jc w:val="center"/>
              <w:textAlignment w:val="auto"/>
              <w:rPr>
                <w:rFonts w:hint="eastAsia" w:ascii="宋体" w:hAnsi="宋体" w:eastAsia="宋体" w:cs="宋体"/>
                <w:b/>
                <w:snapToGrid w:val="0"/>
                <w:color w:val="auto"/>
                <w:kern w:val="0"/>
                <w:sz w:val="21"/>
                <w:szCs w:val="21"/>
              </w:rPr>
            </w:pPr>
            <w:r>
              <w:rPr>
                <w:rFonts w:hint="eastAsia" w:ascii="宋体" w:hAnsi="宋体" w:eastAsia="宋体" w:cs="宋体"/>
                <w:b/>
                <w:snapToGrid w:val="0"/>
                <w:color w:val="auto"/>
                <w:kern w:val="0"/>
                <w:sz w:val="21"/>
                <w:szCs w:val="21"/>
              </w:rPr>
              <w:t>台阶</w:t>
            </w:r>
          </w:p>
        </w:tc>
        <w:tc>
          <w:tcPr>
            <w:tcW w:w="918" w:type="pct"/>
            <w:noWrap w:val="0"/>
            <w:vAlign w:val="center"/>
          </w:tcPr>
          <w:p>
            <w:pPr>
              <w:wordWrap/>
              <w:topLinePunct w:val="0"/>
              <w:bidi w:val="0"/>
              <w:spacing w:line="240" w:lineRule="auto"/>
              <w:jc w:val="center"/>
              <w:textAlignment w:val="auto"/>
              <w:rPr>
                <w:rFonts w:hint="eastAsia" w:ascii="宋体" w:hAnsi="宋体" w:eastAsia="宋体" w:cs="宋体"/>
                <w:b/>
                <w:snapToGrid w:val="0"/>
                <w:color w:val="auto"/>
                <w:kern w:val="0"/>
                <w:sz w:val="21"/>
                <w:szCs w:val="21"/>
              </w:rPr>
            </w:pPr>
            <w:r>
              <w:rPr>
                <w:rFonts w:hint="eastAsia" w:ascii="宋体" w:hAnsi="宋体" w:eastAsia="宋体" w:cs="宋体"/>
                <w:b/>
                <w:snapToGrid w:val="0"/>
                <w:color w:val="auto"/>
                <w:kern w:val="0"/>
                <w:sz w:val="21"/>
                <w:szCs w:val="21"/>
              </w:rPr>
              <w:t>台阶高度</w:t>
            </w:r>
          </w:p>
        </w:tc>
        <w:tc>
          <w:tcPr>
            <w:tcW w:w="1034" w:type="pct"/>
            <w:noWrap w:val="0"/>
            <w:vAlign w:val="center"/>
          </w:tcPr>
          <w:p>
            <w:pPr>
              <w:wordWrap/>
              <w:topLinePunct w:val="0"/>
              <w:bidi w:val="0"/>
              <w:spacing w:line="240" w:lineRule="auto"/>
              <w:jc w:val="center"/>
              <w:textAlignment w:val="auto"/>
              <w:rPr>
                <w:rFonts w:hint="eastAsia" w:ascii="宋体" w:hAnsi="宋体" w:eastAsia="宋体" w:cs="宋体"/>
                <w:b/>
                <w:snapToGrid w:val="0"/>
                <w:color w:val="auto"/>
                <w:kern w:val="0"/>
                <w:sz w:val="21"/>
                <w:szCs w:val="21"/>
              </w:rPr>
            </w:pPr>
            <w:r>
              <w:rPr>
                <w:rFonts w:hint="eastAsia" w:ascii="宋体" w:hAnsi="宋体" w:eastAsia="宋体" w:cs="宋体"/>
                <w:b/>
                <w:snapToGrid w:val="0"/>
                <w:color w:val="auto"/>
                <w:kern w:val="0"/>
                <w:sz w:val="21"/>
                <w:szCs w:val="21"/>
              </w:rPr>
              <w:t>台阶宽度</w:t>
            </w:r>
          </w:p>
        </w:tc>
        <w:tc>
          <w:tcPr>
            <w:tcW w:w="1239" w:type="pct"/>
            <w:noWrap w:val="0"/>
            <w:vAlign w:val="center"/>
          </w:tcPr>
          <w:p>
            <w:pPr>
              <w:wordWrap/>
              <w:topLinePunct w:val="0"/>
              <w:bidi w:val="0"/>
              <w:spacing w:line="240" w:lineRule="auto"/>
              <w:jc w:val="center"/>
              <w:textAlignment w:val="auto"/>
              <w:rPr>
                <w:rFonts w:hint="eastAsia" w:ascii="宋体" w:hAnsi="宋体" w:eastAsia="宋体" w:cs="宋体"/>
                <w:b/>
                <w:snapToGrid w:val="0"/>
                <w:color w:val="auto"/>
                <w:kern w:val="0"/>
                <w:sz w:val="21"/>
                <w:szCs w:val="21"/>
              </w:rPr>
            </w:pPr>
            <w:r>
              <w:rPr>
                <w:rFonts w:hint="eastAsia" w:ascii="宋体" w:hAnsi="宋体" w:eastAsia="宋体" w:cs="宋体"/>
                <w:b/>
                <w:snapToGrid w:val="0"/>
                <w:color w:val="auto"/>
                <w:kern w:val="0"/>
                <w:sz w:val="21"/>
                <w:szCs w:val="21"/>
              </w:rPr>
              <w:t>台阶坡面角</w:t>
            </w:r>
          </w:p>
        </w:tc>
        <w:tc>
          <w:tcPr>
            <w:tcW w:w="1117" w:type="pct"/>
            <w:noWrap w:val="0"/>
            <w:vAlign w:val="center"/>
          </w:tcPr>
          <w:p>
            <w:pPr>
              <w:wordWrap/>
              <w:topLinePunct w:val="0"/>
              <w:bidi w:val="0"/>
              <w:spacing w:line="240" w:lineRule="auto"/>
              <w:jc w:val="center"/>
              <w:textAlignment w:val="auto"/>
              <w:rPr>
                <w:rFonts w:hint="eastAsia" w:ascii="宋体" w:hAnsi="宋体" w:eastAsia="宋体" w:cs="宋体"/>
                <w:b/>
                <w:snapToGrid w:val="0"/>
                <w:color w:val="auto"/>
                <w:kern w:val="0"/>
                <w:sz w:val="21"/>
                <w:szCs w:val="21"/>
              </w:rPr>
            </w:pPr>
            <w:r>
              <w:rPr>
                <w:rFonts w:hint="eastAsia" w:ascii="宋体" w:hAnsi="宋体" w:eastAsia="宋体" w:cs="宋体"/>
                <w:sz w:val="21"/>
                <w:szCs w:val="21"/>
              </w:rPr>
              <w:t>工作线长度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exact"/>
        </w:trPr>
        <w:tc>
          <w:tcPr>
            <w:tcW w:w="690" w:type="pct"/>
            <w:noWrap w:val="0"/>
            <w:vAlign w:val="top"/>
          </w:tcPr>
          <w:p>
            <w:pPr>
              <w:wordWrap/>
              <w:topLinePunct w:val="0"/>
              <w:bidi w:val="0"/>
              <w:spacing w:line="240" w:lineRule="auto"/>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sz w:val="21"/>
                <w:szCs w:val="21"/>
              </w:rPr>
              <w:t>1</w:t>
            </w:r>
            <w:r>
              <w:rPr>
                <w:rFonts w:hint="eastAsia" w:ascii="宋体" w:hAnsi="宋体" w:eastAsia="宋体" w:cs="宋体"/>
                <w:sz w:val="21"/>
                <w:szCs w:val="21"/>
                <w:lang w:val="en-US" w:eastAsia="zh-CN"/>
              </w:rPr>
              <w:t>876</w:t>
            </w:r>
            <w:r>
              <w:rPr>
                <w:rFonts w:hint="eastAsia" w:ascii="宋体" w:hAnsi="宋体" w:eastAsia="宋体" w:cs="宋体"/>
                <w:sz w:val="21"/>
                <w:szCs w:val="21"/>
              </w:rPr>
              <w:t>m</w:t>
            </w:r>
          </w:p>
        </w:tc>
        <w:tc>
          <w:tcPr>
            <w:tcW w:w="918" w:type="pct"/>
            <w:noWrap w:val="0"/>
            <w:vAlign w:val="top"/>
          </w:tcPr>
          <w:p>
            <w:pPr>
              <w:wordWrap/>
              <w:topLinePunct w:val="0"/>
              <w:bidi w:val="0"/>
              <w:spacing w:line="240" w:lineRule="auto"/>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4</w:t>
            </w:r>
            <w:r>
              <w:rPr>
                <w:rFonts w:hint="eastAsia" w:ascii="宋体" w:hAnsi="宋体" w:eastAsia="宋体" w:cs="宋体"/>
                <w:sz w:val="21"/>
                <w:szCs w:val="21"/>
                <w:lang w:val="en-US" w:eastAsia="zh-CN"/>
              </w:rPr>
              <w:t>～</w:t>
            </w:r>
            <w:r>
              <w:rPr>
                <w:rFonts w:hint="eastAsia" w:ascii="宋体" w:hAnsi="宋体" w:eastAsia="宋体" w:cs="宋体"/>
                <w:color w:val="auto"/>
                <w:sz w:val="21"/>
                <w:szCs w:val="21"/>
                <w:lang w:val="en-US" w:eastAsia="zh-CN"/>
              </w:rPr>
              <w:t>11m</w:t>
            </w:r>
          </w:p>
        </w:tc>
        <w:tc>
          <w:tcPr>
            <w:tcW w:w="1034" w:type="pct"/>
            <w:noWrap w:val="0"/>
            <w:vAlign w:val="top"/>
          </w:tcPr>
          <w:p>
            <w:pPr>
              <w:wordWrap/>
              <w:topLinePunct w:val="0"/>
              <w:bidi w:val="0"/>
              <w:spacing w:line="240" w:lineRule="auto"/>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5</w:t>
            </w:r>
            <w:r>
              <w:rPr>
                <w:rFonts w:hint="eastAsia" w:ascii="宋体" w:hAnsi="宋体" w:eastAsia="宋体" w:cs="宋体"/>
                <w:sz w:val="21"/>
                <w:szCs w:val="21"/>
                <w:lang w:val="en-US" w:eastAsia="zh-CN"/>
              </w:rPr>
              <w:t>～</w:t>
            </w:r>
            <w:r>
              <w:rPr>
                <w:rFonts w:hint="eastAsia" w:ascii="宋体" w:hAnsi="宋体" w:eastAsia="宋体" w:cs="宋体"/>
                <w:color w:val="auto"/>
                <w:sz w:val="21"/>
                <w:szCs w:val="21"/>
                <w:lang w:val="en-US" w:eastAsia="zh-CN"/>
              </w:rPr>
              <w:t>7m</w:t>
            </w:r>
          </w:p>
        </w:tc>
        <w:tc>
          <w:tcPr>
            <w:tcW w:w="1239" w:type="pct"/>
            <w:noWrap w:val="0"/>
            <w:vAlign w:val="top"/>
          </w:tcPr>
          <w:p>
            <w:pPr>
              <w:wordWrap/>
              <w:topLinePunct w:val="0"/>
              <w:bidi w:val="0"/>
              <w:spacing w:line="240" w:lineRule="auto"/>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45</w:t>
            </w:r>
            <w:r>
              <w:rPr>
                <w:rFonts w:hint="eastAsia" w:ascii="宋体" w:hAnsi="宋体" w:eastAsia="宋体" w:cs="宋体"/>
                <w:sz w:val="21"/>
                <w:szCs w:val="21"/>
                <w:lang w:val="en-US" w:eastAsia="zh-CN"/>
              </w:rPr>
              <w:t>～</w:t>
            </w:r>
            <w:r>
              <w:rPr>
                <w:rFonts w:hint="eastAsia" w:ascii="宋体" w:hAnsi="宋体" w:eastAsia="宋体" w:cs="宋体"/>
                <w:color w:val="auto"/>
                <w:sz w:val="21"/>
                <w:szCs w:val="21"/>
                <w:lang w:val="en-US" w:eastAsia="zh-CN"/>
              </w:rPr>
              <w:t>55°</w:t>
            </w:r>
          </w:p>
        </w:tc>
        <w:tc>
          <w:tcPr>
            <w:tcW w:w="1117"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67m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exact"/>
        </w:trPr>
        <w:tc>
          <w:tcPr>
            <w:tcW w:w="690" w:type="pct"/>
            <w:noWrap w:val="0"/>
            <w:vAlign w:val="top"/>
          </w:tcPr>
          <w:p>
            <w:pPr>
              <w:wordWrap/>
              <w:topLinePunct w:val="0"/>
              <w:bidi w:val="0"/>
              <w:spacing w:line="240" w:lineRule="auto"/>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sz w:val="21"/>
                <w:szCs w:val="21"/>
                <w:lang w:val="en-US" w:eastAsia="zh-CN"/>
              </w:rPr>
              <w:t>1867</w:t>
            </w:r>
            <w:r>
              <w:rPr>
                <w:rFonts w:hint="eastAsia" w:ascii="宋体" w:hAnsi="宋体" w:eastAsia="宋体" w:cs="宋体"/>
                <w:color w:val="auto"/>
                <w:sz w:val="21"/>
                <w:szCs w:val="21"/>
                <w:lang w:val="en-US" w:eastAsia="zh-CN"/>
              </w:rPr>
              <w:t>m</w:t>
            </w:r>
          </w:p>
        </w:tc>
        <w:tc>
          <w:tcPr>
            <w:tcW w:w="918" w:type="pct"/>
            <w:noWrap w:val="0"/>
            <w:vAlign w:val="top"/>
          </w:tcPr>
          <w:p>
            <w:pPr>
              <w:wordWrap/>
              <w:topLinePunct w:val="0"/>
              <w:bidi w:val="0"/>
              <w:spacing w:line="240" w:lineRule="auto"/>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9m</w:t>
            </w:r>
          </w:p>
        </w:tc>
        <w:tc>
          <w:tcPr>
            <w:tcW w:w="1034" w:type="pct"/>
            <w:noWrap w:val="0"/>
            <w:vAlign w:val="top"/>
          </w:tcPr>
          <w:p>
            <w:pPr>
              <w:wordWrap/>
              <w:topLinePunct w:val="0"/>
              <w:bidi w:val="0"/>
              <w:spacing w:line="240" w:lineRule="auto"/>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4</w:t>
            </w:r>
            <w:r>
              <w:rPr>
                <w:rFonts w:hint="eastAsia" w:ascii="宋体" w:hAnsi="宋体" w:eastAsia="宋体" w:cs="宋体"/>
                <w:sz w:val="21"/>
                <w:szCs w:val="21"/>
                <w:lang w:val="en-US" w:eastAsia="zh-CN"/>
              </w:rPr>
              <w:t>～</w:t>
            </w:r>
            <w:r>
              <w:rPr>
                <w:rFonts w:hint="eastAsia" w:ascii="宋体" w:hAnsi="宋体" w:eastAsia="宋体" w:cs="宋体"/>
                <w:color w:val="auto"/>
                <w:kern w:val="2"/>
                <w:sz w:val="21"/>
                <w:szCs w:val="21"/>
                <w:lang w:val="en-US" w:eastAsia="zh-CN" w:bidi="ar-SA"/>
              </w:rPr>
              <w:t>6m</w:t>
            </w:r>
          </w:p>
        </w:tc>
        <w:tc>
          <w:tcPr>
            <w:tcW w:w="1239" w:type="pct"/>
            <w:noWrap w:val="0"/>
            <w:vAlign w:val="top"/>
          </w:tcPr>
          <w:p>
            <w:pPr>
              <w:wordWrap/>
              <w:topLinePunct w:val="0"/>
              <w:bidi w:val="0"/>
              <w:spacing w:line="240" w:lineRule="auto"/>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46</w:t>
            </w:r>
            <w:r>
              <w:rPr>
                <w:rFonts w:hint="eastAsia" w:ascii="宋体" w:hAnsi="宋体" w:eastAsia="宋体" w:cs="宋体"/>
                <w:sz w:val="21"/>
                <w:szCs w:val="21"/>
                <w:lang w:val="en-US" w:eastAsia="zh-CN"/>
              </w:rPr>
              <w:t>～</w:t>
            </w:r>
            <w:r>
              <w:rPr>
                <w:rFonts w:hint="eastAsia" w:ascii="宋体" w:hAnsi="宋体" w:eastAsia="宋体" w:cs="宋体"/>
                <w:color w:val="auto"/>
                <w:kern w:val="2"/>
                <w:sz w:val="21"/>
                <w:szCs w:val="21"/>
                <w:lang w:val="en-US" w:eastAsia="zh-CN" w:bidi="ar-SA"/>
              </w:rPr>
              <w:t>55°</w:t>
            </w:r>
          </w:p>
        </w:tc>
        <w:tc>
          <w:tcPr>
            <w:tcW w:w="1117"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85m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exact"/>
        </w:trPr>
        <w:tc>
          <w:tcPr>
            <w:tcW w:w="690"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z w:val="21"/>
                <w:szCs w:val="21"/>
                <w:lang w:val="en-US" w:eastAsia="zh-CN"/>
              </w:rPr>
              <w:t>1858m</w:t>
            </w:r>
          </w:p>
        </w:tc>
        <w:tc>
          <w:tcPr>
            <w:tcW w:w="918"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9m</w:t>
            </w:r>
          </w:p>
        </w:tc>
        <w:tc>
          <w:tcPr>
            <w:tcW w:w="1034"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4</w:t>
            </w:r>
            <w:r>
              <w:rPr>
                <w:rFonts w:hint="eastAsia" w:ascii="宋体" w:hAnsi="宋体" w:eastAsia="宋体" w:cs="宋体"/>
                <w:sz w:val="21"/>
                <w:szCs w:val="21"/>
                <w:lang w:val="en-US" w:eastAsia="zh-CN"/>
              </w:rPr>
              <w:t>～</w:t>
            </w:r>
            <w:r>
              <w:rPr>
                <w:rFonts w:hint="eastAsia" w:ascii="宋体" w:hAnsi="宋体" w:eastAsia="宋体" w:cs="宋体"/>
                <w:snapToGrid w:val="0"/>
                <w:color w:val="auto"/>
                <w:kern w:val="2"/>
                <w:sz w:val="21"/>
                <w:szCs w:val="21"/>
                <w:lang w:val="en-US" w:eastAsia="zh-CN" w:bidi="ar-SA"/>
              </w:rPr>
              <w:t>6m</w:t>
            </w:r>
          </w:p>
        </w:tc>
        <w:tc>
          <w:tcPr>
            <w:tcW w:w="1239"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40</w:t>
            </w:r>
            <w:r>
              <w:rPr>
                <w:rFonts w:hint="eastAsia" w:ascii="宋体" w:hAnsi="宋体" w:eastAsia="宋体" w:cs="宋体"/>
                <w:sz w:val="21"/>
                <w:szCs w:val="21"/>
                <w:lang w:val="en-US" w:eastAsia="zh-CN"/>
              </w:rPr>
              <w:t>～</w:t>
            </w:r>
            <w:r>
              <w:rPr>
                <w:rFonts w:hint="eastAsia" w:ascii="宋体" w:hAnsi="宋体" w:eastAsia="宋体" w:cs="宋体"/>
                <w:snapToGrid w:val="0"/>
                <w:color w:val="auto"/>
                <w:kern w:val="2"/>
                <w:sz w:val="21"/>
                <w:szCs w:val="21"/>
                <w:lang w:val="en-US" w:eastAsia="zh-CN" w:bidi="ar-SA"/>
              </w:rPr>
              <w:t>55°</w:t>
            </w:r>
          </w:p>
        </w:tc>
        <w:tc>
          <w:tcPr>
            <w:tcW w:w="1117" w:type="pct"/>
            <w:noWrap w:val="0"/>
            <w:vAlign w:val="top"/>
          </w:tcPr>
          <w:p>
            <w:pPr>
              <w:wordWrap/>
              <w:topLinePunct w:val="0"/>
              <w:bidi w:val="0"/>
              <w:spacing w:line="240" w:lineRule="auto"/>
              <w:jc w:val="center"/>
              <w:textAlignment w:val="auto"/>
              <w:rPr>
                <w:rFonts w:hint="default"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60m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exact"/>
        </w:trPr>
        <w:tc>
          <w:tcPr>
            <w:tcW w:w="5000" w:type="pct"/>
            <w:gridSpan w:val="5"/>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东北侧采场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exact"/>
        </w:trPr>
        <w:tc>
          <w:tcPr>
            <w:tcW w:w="690"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sz w:val="21"/>
                <w:szCs w:val="21"/>
                <w:lang w:val="en-US" w:eastAsia="zh-CN"/>
              </w:rPr>
            </w:pPr>
            <w:r>
              <w:rPr>
                <w:rFonts w:hint="eastAsia" w:ascii="宋体" w:hAnsi="宋体" w:eastAsia="宋体" w:cs="宋体"/>
                <w:sz w:val="21"/>
                <w:szCs w:val="21"/>
              </w:rPr>
              <w:t>1</w:t>
            </w:r>
            <w:r>
              <w:rPr>
                <w:rFonts w:hint="eastAsia" w:ascii="宋体" w:hAnsi="宋体" w:eastAsia="宋体" w:cs="宋体"/>
                <w:sz w:val="21"/>
                <w:szCs w:val="21"/>
                <w:lang w:val="en-US" w:eastAsia="zh-CN"/>
              </w:rPr>
              <w:t>880</w:t>
            </w:r>
            <w:r>
              <w:rPr>
                <w:rFonts w:hint="eastAsia" w:ascii="宋体" w:hAnsi="宋体" w:eastAsia="宋体" w:cs="宋体"/>
                <w:snapToGrid w:val="0"/>
                <w:color w:val="auto"/>
                <w:sz w:val="21"/>
                <w:szCs w:val="21"/>
                <w:lang w:val="en-US" w:eastAsia="zh-CN"/>
              </w:rPr>
              <w:t>m</w:t>
            </w:r>
          </w:p>
        </w:tc>
        <w:tc>
          <w:tcPr>
            <w:tcW w:w="918"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3</w:t>
            </w:r>
            <w:r>
              <w:rPr>
                <w:rFonts w:hint="eastAsia" w:ascii="宋体" w:hAnsi="宋体" w:eastAsia="宋体" w:cs="宋体"/>
                <w:sz w:val="21"/>
                <w:szCs w:val="21"/>
                <w:lang w:val="en-US" w:eastAsia="zh-CN"/>
              </w:rPr>
              <w:t>～</w:t>
            </w:r>
            <w:r>
              <w:rPr>
                <w:rFonts w:hint="eastAsia" w:ascii="宋体" w:hAnsi="宋体" w:eastAsia="宋体" w:cs="宋体"/>
                <w:snapToGrid w:val="0"/>
                <w:color w:val="auto"/>
                <w:kern w:val="2"/>
                <w:sz w:val="21"/>
                <w:szCs w:val="21"/>
                <w:lang w:val="en-US" w:eastAsia="zh-CN" w:bidi="ar-SA"/>
              </w:rPr>
              <w:t>10m</w:t>
            </w:r>
          </w:p>
        </w:tc>
        <w:tc>
          <w:tcPr>
            <w:tcW w:w="1034"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3</w:t>
            </w:r>
            <w:r>
              <w:rPr>
                <w:rFonts w:hint="eastAsia" w:ascii="宋体" w:hAnsi="宋体" w:eastAsia="宋体" w:cs="宋体"/>
                <w:sz w:val="21"/>
                <w:szCs w:val="21"/>
                <w:lang w:val="en-US" w:eastAsia="zh-CN"/>
              </w:rPr>
              <w:t>～</w:t>
            </w:r>
            <w:r>
              <w:rPr>
                <w:rFonts w:hint="eastAsia" w:ascii="宋体" w:hAnsi="宋体" w:eastAsia="宋体" w:cs="宋体"/>
                <w:snapToGrid w:val="0"/>
                <w:color w:val="auto"/>
                <w:kern w:val="2"/>
                <w:sz w:val="21"/>
                <w:szCs w:val="21"/>
                <w:lang w:val="en-US" w:eastAsia="zh-CN" w:bidi="ar-SA"/>
              </w:rPr>
              <w:t>6m</w:t>
            </w:r>
          </w:p>
        </w:tc>
        <w:tc>
          <w:tcPr>
            <w:tcW w:w="1239"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45</w:t>
            </w:r>
            <w:r>
              <w:rPr>
                <w:rFonts w:hint="eastAsia" w:ascii="宋体" w:hAnsi="宋体" w:eastAsia="宋体" w:cs="宋体"/>
                <w:sz w:val="21"/>
                <w:szCs w:val="21"/>
                <w:lang w:val="en-US" w:eastAsia="zh-CN"/>
              </w:rPr>
              <w:t>～</w:t>
            </w:r>
            <w:r>
              <w:rPr>
                <w:rFonts w:hint="eastAsia" w:ascii="宋体" w:hAnsi="宋体" w:eastAsia="宋体" w:cs="宋体"/>
                <w:snapToGrid w:val="0"/>
                <w:color w:val="auto"/>
                <w:kern w:val="2"/>
                <w:sz w:val="21"/>
                <w:szCs w:val="21"/>
                <w:lang w:val="en-US" w:eastAsia="zh-CN" w:bidi="ar-SA"/>
              </w:rPr>
              <w:t>55°</w:t>
            </w:r>
          </w:p>
        </w:tc>
        <w:tc>
          <w:tcPr>
            <w:tcW w:w="1117"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140m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exact"/>
        </w:trPr>
        <w:tc>
          <w:tcPr>
            <w:tcW w:w="690"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sz w:val="21"/>
                <w:szCs w:val="21"/>
                <w:lang w:val="en-US" w:eastAsia="zh-CN"/>
              </w:rPr>
            </w:pPr>
            <w:r>
              <w:rPr>
                <w:rFonts w:hint="eastAsia" w:ascii="宋体" w:hAnsi="宋体" w:eastAsia="宋体" w:cs="宋体"/>
                <w:sz w:val="21"/>
                <w:szCs w:val="21"/>
              </w:rPr>
              <w:t>1</w:t>
            </w:r>
            <w:r>
              <w:rPr>
                <w:rFonts w:hint="eastAsia" w:ascii="宋体" w:hAnsi="宋体" w:eastAsia="宋体" w:cs="宋体"/>
                <w:sz w:val="21"/>
                <w:szCs w:val="21"/>
                <w:lang w:val="en-US" w:eastAsia="zh-CN"/>
              </w:rPr>
              <w:t>874</w:t>
            </w:r>
            <w:r>
              <w:rPr>
                <w:rFonts w:hint="eastAsia" w:ascii="宋体" w:hAnsi="宋体" w:eastAsia="宋体" w:cs="宋体"/>
                <w:snapToGrid w:val="0"/>
                <w:color w:val="auto"/>
                <w:sz w:val="21"/>
                <w:szCs w:val="21"/>
                <w:lang w:val="en-US" w:eastAsia="zh-CN"/>
              </w:rPr>
              <w:t>m</w:t>
            </w:r>
          </w:p>
        </w:tc>
        <w:tc>
          <w:tcPr>
            <w:tcW w:w="918"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2</w:t>
            </w:r>
            <w:r>
              <w:rPr>
                <w:rFonts w:hint="eastAsia" w:ascii="宋体" w:hAnsi="宋体" w:eastAsia="宋体" w:cs="宋体"/>
                <w:sz w:val="21"/>
                <w:szCs w:val="21"/>
                <w:lang w:val="en-US" w:eastAsia="zh-CN"/>
              </w:rPr>
              <w:t>～</w:t>
            </w:r>
            <w:r>
              <w:rPr>
                <w:rFonts w:hint="eastAsia" w:ascii="宋体" w:hAnsi="宋体" w:eastAsia="宋体" w:cs="宋体"/>
                <w:snapToGrid w:val="0"/>
                <w:color w:val="auto"/>
                <w:kern w:val="2"/>
                <w:sz w:val="21"/>
                <w:szCs w:val="21"/>
                <w:lang w:val="en-US" w:eastAsia="zh-CN" w:bidi="ar-SA"/>
              </w:rPr>
              <w:t>3m</w:t>
            </w:r>
          </w:p>
        </w:tc>
        <w:tc>
          <w:tcPr>
            <w:tcW w:w="1034"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3</w:t>
            </w:r>
            <w:r>
              <w:rPr>
                <w:rFonts w:hint="eastAsia" w:ascii="宋体" w:hAnsi="宋体" w:eastAsia="宋体" w:cs="宋体"/>
                <w:sz w:val="21"/>
                <w:szCs w:val="21"/>
                <w:lang w:val="en-US" w:eastAsia="zh-CN"/>
              </w:rPr>
              <w:t>～</w:t>
            </w:r>
            <w:r>
              <w:rPr>
                <w:rFonts w:hint="eastAsia" w:ascii="宋体" w:hAnsi="宋体" w:eastAsia="宋体" w:cs="宋体"/>
                <w:snapToGrid w:val="0"/>
                <w:color w:val="auto"/>
                <w:kern w:val="2"/>
                <w:sz w:val="21"/>
                <w:szCs w:val="21"/>
                <w:lang w:val="en-US" w:eastAsia="zh-CN" w:bidi="ar-SA"/>
              </w:rPr>
              <w:t>5m</w:t>
            </w:r>
          </w:p>
        </w:tc>
        <w:tc>
          <w:tcPr>
            <w:tcW w:w="1239"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50</w:t>
            </w:r>
            <w:r>
              <w:rPr>
                <w:rFonts w:hint="eastAsia" w:ascii="宋体" w:hAnsi="宋体" w:eastAsia="宋体" w:cs="宋体"/>
                <w:sz w:val="21"/>
                <w:szCs w:val="21"/>
                <w:lang w:val="en-US" w:eastAsia="zh-CN"/>
              </w:rPr>
              <w:t>～</w:t>
            </w:r>
            <w:r>
              <w:rPr>
                <w:rFonts w:hint="eastAsia" w:ascii="宋体" w:hAnsi="宋体" w:eastAsia="宋体" w:cs="宋体"/>
                <w:snapToGrid w:val="0"/>
                <w:color w:val="auto"/>
                <w:kern w:val="2"/>
                <w:sz w:val="21"/>
                <w:szCs w:val="21"/>
                <w:lang w:val="en-US" w:eastAsia="zh-CN" w:bidi="ar-SA"/>
              </w:rPr>
              <w:t>65°</w:t>
            </w:r>
          </w:p>
        </w:tc>
        <w:tc>
          <w:tcPr>
            <w:tcW w:w="1117"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157m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exact"/>
        </w:trPr>
        <w:tc>
          <w:tcPr>
            <w:tcW w:w="690" w:type="pct"/>
            <w:noWrap w:val="0"/>
            <w:vAlign w:val="top"/>
          </w:tcPr>
          <w:p>
            <w:pPr>
              <w:wordWrap/>
              <w:topLinePunct w:val="0"/>
              <w:bidi w:val="0"/>
              <w:spacing w:line="240" w:lineRule="auto"/>
              <w:jc w:val="center"/>
              <w:textAlignment w:val="auto"/>
              <w:rPr>
                <w:rFonts w:hint="eastAsia" w:ascii="宋体" w:hAnsi="宋体" w:eastAsia="宋体" w:cs="宋体"/>
                <w:sz w:val="21"/>
                <w:szCs w:val="21"/>
                <w:lang w:val="en-US"/>
              </w:rPr>
            </w:pPr>
            <w:r>
              <w:rPr>
                <w:rFonts w:hint="eastAsia" w:ascii="宋体" w:hAnsi="宋体" w:eastAsia="宋体" w:cs="宋体"/>
                <w:sz w:val="21"/>
                <w:szCs w:val="21"/>
              </w:rPr>
              <w:t>1</w:t>
            </w:r>
            <w:r>
              <w:rPr>
                <w:rFonts w:hint="eastAsia" w:ascii="宋体" w:hAnsi="宋体" w:eastAsia="宋体" w:cs="宋体"/>
                <w:sz w:val="21"/>
                <w:szCs w:val="21"/>
                <w:lang w:val="en-US" w:eastAsia="zh-CN"/>
              </w:rPr>
              <w:t>867m</w:t>
            </w:r>
          </w:p>
        </w:tc>
        <w:tc>
          <w:tcPr>
            <w:tcW w:w="918"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z w:val="21"/>
                <w:szCs w:val="21"/>
                <w:lang w:val="en-US" w:eastAsia="zh-CN"/>
              </w:rPr>
              <w:t>5～8</w:t>
            </w:r>
          </w:p>
        </w:tc>
        <w:tc>
          <w:tcPr>
            <w:tcW w:w="1034"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5m</w:t>
            </w:r>
          </w:p>
        </w:tc>
        <w:tc>
          <w:tcPr>
            <w:tcW w:w="1239"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z w:val="21"/>
                <w:szCs w:val="21"/>
                <w:lang w:val="en-US" w:eastAsia="zh-CN"/>
              </w:rPr>
              <w:t>45～65</w:t>
            </w:r>
            <w:r>
              <w:rPr>
                <w:rFonts w:hint="eastAsia" w:ascii="宋体" w:hAnsi="宋体" w:eastAsia="宋体" w:cs="宋体"/>
                <w:sz w:val="21"/>
                <w:szCs w:val="21"/>
                <w:lang w:val="en-GB"/>
              </w:rPr>
              <w:t>°</w:t>
            </w:r>
          </w:p>
        </w:tc>
        <w:tc>
          <w:tcPr>
            <w:tcW w:w="1117"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z w:val="21"/>
                <w:szCs w:val="21"/>
                <w:lang w:val="en-US" w:eastAsia="zh-CN"/>
              </w:rPr>
              <w:t>78m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exact"/>
        </w:trPr>
        <w:tc>
          <w:tcPr>
            <w:tcW w:w="690" w:type="pct"/>
            <w:noWrap w:val="0"/>
            <w:vAlign w:val="top"/>
          </w:tcPr>
          <w:p>
            <w:pPr>
              <w:wordWrap/>
              <w:topLinePunct w:val="0"/>
              <w:bidi w:val="0"/>
              <w:spacing w:line="24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860</w:t>
            </w:r>
            <w:r>
              <w:rPr>
                <w:rFonts w:hint="eastAsia" w:ascii="宋体" w:hAnsi="宋体" w:eastAsia="宋体" w:cs="宋体"/>
                <w:sz w:val="21"/>
                <w:szCs w:val="21"/>
                <w:lang w:val="en-GB"/>
              </w:rPr>
              <w:t>m</w:t>
            </w:r>
          </w:p>
        </w:tc>
        <w:tc>
          <w:tcPr>
            <w:tcW w:w="918"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z w:val="21"/>
                <w:szCs w:val="21"/>
                <w:lang w:val="en-US" w:eastAsia="zh-CN"/>
              </w:rPr>
              <w:t>6～8m</w:t>
            </w:r>
          </w:p>
        </w:tc>
        <w:tc>
          <w:tcPr>
            <w:tcW w:w="1034"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z w:val="21"/>
                <w:szCs w:val="21"/>
                <w:lang w:val="en-US" w:eastAsia="zh-CN"/>
              </w:rPr>
              <w:t>6</w:t>
            </w:r>
            <w:r>
              <w:rPr>
                <w:rFonts w:hint="eastAsia" w:ascii="宋体" w:hAnsi="宋体" w:eastAsia="宋体" w:cs="宋体"/>
                <w:sz w:val="21"/>
                <w:szCs w:val="21"/>
                <w:lang w:val="en-GB"/>
              </w:rPr>
              <w:t>m</w:t>
            </w:r>
          </w:p>
        </w:tc>
        <w:tc>
          <w:tcPr>
            <w:tcW w:w="1239"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z w:val="21"/>
                <w:szCs w:val="21"/>
                <w:lang w:val="en-US" w:eastAsia="zh-CN"/>
              </w:rPr>
              <w:t>40～63</w:t>
            </w:r>
            <w:r>
              <w:rPr>
                <w:rFonts w:hint="eastAsia" w:ascii="宋体" w:hAnsi="宋体" w:eastAsia="宋体" w:cs="宋体"/>
                <w:sz w:val="21"/>
                <w:szCs w:val="21"/>
                <w:lang w:val="en-GB"/>
              </w:rPr>
              <w:t>°</w:t>
            </w:r>
          </w:p>
        </w:tc>
        <w:tc>
          <w:tcPr>
            <w:tcW w:w="1117"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z w:val="21"/>
                <w:szCs w:val="21"/>
                <w:lang w:val="en-US" w:eastAsia="zh-CN"/>
              </w:rPr>
              <w:t>74</w:t>
            </w:r>
            <w:r>
              <w:rPr>
                <w:rFonts w:hint="eastAsia" w:ascii="宋体" w:hAnsi="宋体" w:eastAsia="宋体" w:cs="宋体"/>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exact"/>
        </w:trPr>
        <w:tc>
          <w:tcPr>
            <w:tcW w:w="690" w:type="pct"/>
            <w:noWrap w:val="0"/>
            <w:vAlign w:val="top"/>
          </w:tcPr>
          <w:p>
            <w:pPr>
              <w:wordWrap/>
              <w:topLinePunct w:val="0"/>
              <w:bidi w:val="0"/>
              <w:spacing w:line="24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852</w:t>
            </w:r>
            <w:r>
              <w:rPr>
                <w:rFonts w:hint="eastAsia" w:ascii="宋体" w:hAnsi="宋体" w:eastAsia="宋体" w:cs="宋体"/>
                <w:sz w:val="21"/>
                <w:szCs w:val="21"/>
                <w:lang w:val="en-GB"/>
              </w:rPr>
              <w:t>m</w:t>
            </w:r>
          </w:p>
        </w:tc>
        <w:tc>
          <w:tcPr>
            <w:tcW w:w="918"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z w:val="21"/>
                <w:szCs w:val="21"/>
                <w:lang w:val="en-US" w:eastAsia="zh-CN"/>
              </w:rPr>
              <w:t>8m</w:t>
            </w:r>
          </w:p>
        </w:tc>
        <w:tc>
          <w:tcPr>
            <w:tcW w:w="1034" w:type="pct"/>
            <w:noWrap w:val="0"/>
            <w:vAlign w:val="top"/>
          </w:tcPr>
          <w:p>
            <w:pPr>
              <w:wordWrap/>
              <w:topLinePunct w:val="0"/>
              <w:bidi w:val="0"/>
              <w:spacing w:line="240" w:lineRule="auto"/>
              <w:jc w:val="center"/>
              <w:textAlignment w:val="auto"/>
              <w:rPr>
                <w:rFonts w:hint="default"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6m</w:t>
            </w:r>
          </w:p>
        </w:tc>
        <w:tc>
          <w:tcPr>
            <w:tcW w:w="1239" w:type="pct"/>
            <w:noWrap w:val="0"/>
            <w:vAlign w:val="top"/>
          </w:tcPr>
          <w:p>
            <w:pPr>
              <w:wordWrap/>
              <w:topLinePunct w:val="0"/>
              <w:bidi w:val="0"/>
              <w:spacing w:line="240" w:lineRule="auto"/>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z w:val="21"/>
                <w:szCs w:val="21"/>
                <w:lang w:val="en-US" w:eastAsia="zh-CN"/>
              </w:rPr>
              <w:t>55~65</w:t>
            </w:r>
            <w:r>
              <w:rPr>
                <w:rFonts w:hint="eastAsia" w:ascii="宋体" w:hAnsi="宋体" w:eastAsia="宋体" w:cs="宋体"/>
                <w:sz w:val="21"/>
                <w:szCs w:val="21"/>
                <w:lang w:val="en-GB"/>
              </w:rPr>
              <w:t>°</w:t>
            </w:r>
          </w:p>
        </w:tc>
        <w:tc>
          <w:tcPr>
            <w:tcW w:w="1117" w:type="pct"/>
            <w:noWrap w:val="0"/>
            <w:vAlign w:val="top"/>
          </w:tcPr>
          <w:p>
            <w:pPr>
              <w:wordWrap/>
              <w:topLinePunct w:val="0"/>
              <w:bidi w:val="0"/>
              <w:spacing w:line="240" w:lineRule="auto"/>
              <w:jc w:val="center"/>
              <w:textAlignment w:val="auto"/>
              <w:rPr>
                <w:rFonts w:hint="default"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74m</w:t>
            </w:r>
          </w:p>
        </w:tc>
      </w:tr>
    </w:tbl>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ascii="宋体" w:hAnsi="宋体" w:eastAsia="宋体" w:cs="Times New Roman"/>
          <w:color w:val="auto"/>
          <w:sz w:val="28"/>
          <w:szCs w:val="28"/>
          <w:lang w:val="en-US" w:eastAsia="zh-CN"/>
        </w:rPr>
      </w:pPr>
    </w:p>
    <w:p>
      <w:pPr>
        <w:keepNext w:val="0"/>
        <w:keepLines w:val="0"/>
        <w:pageBreakBefore w:val="0"/>
        <w:widowControl w:val="0"/>
        <w:kinsoku/>
        <w:wordWrap/>
        <w:overflowPunct/>
        <w:topLinePunct w:val="0"/>
        <w:autoSpaceDE w:val="0"/>
        <w:autoSpaceDN w:val="0"/>
        <w:bidi w:val="0"/>
        <w:adjustRightInd w:val="0"/>
        <w:snapToGrid w:val="0"/>
        <w:spacing w:line="360" w:lineRule="auto"/>
        <w:textAlignment w:val="auto"/>
        <w:rPr>
          <w:rFonts w:hint="eastAsia" w:ascii="宋体" w:hAnsi="宋体" w:eastAsia="宋体" w:cs="Times New Roman"/>
          <w:color w:val="auto"/>
          <w:sz w:val="28"/>
          <w:szCs w:val="28"/>
          <w:lang w:val="en-US" w:eastAsia="zh-CN"/>
        </w:rPr>
      </w:pPr>
      <w:r>
        <w:rPr>
          <w:rFonts w:hint="eastAsia" w:ascii="宋体" w:hAnsi="宋体" w:eastAsia="宋体" w:cs="Times New Roman"/>
          <w:color w:val="auto"/>
          <w:sz w:val="28"/>
          <w:szCs w:val="28"/>
          <w:lang w:val="en-US" w:eastAsia="zh-CN"/>
        </w:rPr>
        <w:drawing>
          <wp:inline distT="0" distB="0" distL="114300" distR="114300">
            <wp:extent cx="5760720" cy="3240405"/>
            <wp:effectExtent l="0" t="0" r="0" b="5715"/>
            <wp:docPr id="30" name="图片 30" descr="5ec6632b745f99c71a0da563e3dbf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5ec6632b745f99c71a0da563e3dbf68"/>
                    <pic:cNvPicPr>
                      <a:picLocks noChangeAspect="1"/>
                    </pic:cNvPicPr>
                  </pic:nvPicPr>
                  <pic:blipFill>
                    <a:blip r:embed="rId11"/>
                    <a:stretch>
                      <a:fillRect/>
                    </a:stretch>
                  </pic:blipFill>
                  <pic:spPr>
                    <a:xfrm>
                      <a:off x="0" y="0"/>
                      <a:ext cx="5760720" cy="3240405"/>
                    </a:xfrm>
                    <a:prstGeom prst="rect">
                      <a:avLst/>
                    </a:prstGeom>
                  </pic:spPr>
                </pic:pic>
              </a:graphicData>
            </a:graphic>
          </wp:inline>
        </w:drawing>
      </w:r>
    </w:p>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default" w:ascii="宋体" w:hAnsi="宋体" w:eastAsia="宋体" w:cs="Times New Roman"/>
          <w:color w:val="auto"/>
          <w:sz w:val="28"/>
          <w:szCs w:val="28"/>
          <w:lang w:val="en-US" w:eastAsia="zh-CN"/>
        </w:rPr>
      </w:pPr>
      <w:r>
        <w:rPr>
          <w:rFonts w:hint="eastAsia" w:ascii="宋体" w:hAnsi="宋体" w:cs="Times New Roman"/>
          <w:b/>
          <w:color w:val="auto"/>
          <w:sz w:val="28"/>
          <w:szCs w:val="28"/>
          <w:lang w:val="en-US" w:eastAsia="zh-CN"/>
        </w:rPr>
        <w:t xml:space="preserve">图2-3 </w:t>
      </w:r>
      <w:r>
        <w:rPr>
          <w:rFonts w:hint="eastAsia" w:ascii="宋体" w:hAnsi="宋体" w:eastAsia="宋体" w:cs="Times New Roman"/>
          <w:b/>
          <w:color w:val="auto"/>
          <w:sz w:val="28"/>
          <w:szCs w:val="28"/>
        </w:rPr>
        <w:t>采场现状</w:t>
      </w:r>
      <w:r>
        <w:rPr>
          <w:rFonts w:hint="eastAsia" w:ascii="宋体" w:hAnsi="宋体" w:eastAsia="宋体" w:cs="Times New Roman"/>
          <w:b/>
          <w:color w:val="auto"/>
          <w:sz w:val="28"/>
          <w:szCs w:val="28"/>
          <w:lang w:val="en-US" w:eastAsia="zh-CN"/>
        </w:rPr>
        <w:t>航拍</w:t>
      </w:r>
      <w:r>
        <w:rPr>
          <w:rFonts w:hint="eastAsia" w:ascii="宋体" w:hAnsi="宋体" w:eastAsia="宋体" w:cs="Times New Roman"/>
          <w:b/>
          <w:color w:val="auto"/>
          <w:sz w:val="28"/>
          <w:szCs w:val="28"/>
        </w:rPr>
        <w:t>图</w:t>
      </w:r>
    </w:p>
    <w:p>
      <w:pPr>
        <w:pStyle w:val="5"/>
        <w:bidi w:val="0"/>
        <w:rPr>
          <w:rFonts w:hint="eastAsia"/>
          <w:lang w:eastAsia="zh-CN"/>
        </w:rPr>
      </w:pPr>
      <w:bookmarkStart w:id="158" w:name="_Toc4000"/>
      <w:bookmarkStart w:id="159" w:name="_Toc15555"/>
      <w:r>
        <w:rPr>
          <w:rFonts w:hint="eastAsia"/>
          <w:lang w:eastAsia="zh-CN"/>
        </w:rPr>
        <w:t>2.4.</w:t>
      </w:r>
      <w:r>
        <w:rPr>
          <w:rFonts w:hint="eastAsia"/>
          <w:lang w:val="en-US" w:eastAsia="zh-CN"/>
        </w:rPr>
        <w:t>6</w:t>
      </w:r>
      <w:r>
        <w:rPr>
          <w:rFonts w:hint="eastAsia"/>
          <w:lang w:eastAsia="zh-CN"/>
        </w:rPr>
        <w:t>铲装作业</w:t>
      </w:r>
      <w:bookmarkEnd w:id="158"/>
      <w:bookmarkEnd w:id="159"/>
    </w:p>
    <w:p>
      <w:pPr>
        <w:pStyle w:val="6"/>
        <w:bidi w:val="0"/>
        <w:rPr>
          <w:rFonts w:hint="eastAsia"/>
          <w:lang w:eastAsia="zh-CN"/>
        </w:rPr>
      </w:pPr>
      <w:r>
        <w:rPr>
          <w:rFonts w:hint="eastAsia"/>
          <w:lang w:eastAsia="zh-CN"/>
        </w:rPr>
        <w:t>2.4.</w:t>
      </w:r>
      <w:r>
        <w:rPr>
          <w:rFonts w:hint="eastAsia"/>
          <w:lang w:val="en-US" w:eastAsia="zh-CN"/>
        </w:rPr>
        <w:t>6</w:t>
      </w:r>
      <w:r>
        <w:rPr>
          <w:rFonts w:hint="eastAsia"/>
          <w:lang w:eastAsia="zh-CN"/>
        </w:rPr>
        <w:t>.1设计情况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设计采用矿山原有1台挖掘机铲装，5t矿用自卸汽车运输矿岩。采用场外折返公路汽车开拓、运输，公路最大纵坡度采用10%，公路采用泥结碎石路面，单车道路面宽度4.5m</w:t>
      </w:r>
      <w:r>
        <w:rPr>
          <w:rFonts w:hint="eastAsia" w:ascii="宋体" w:hAnsi="宋体" w:cs="宋体"/>
          <w:color w:val="auto"/>
          <w:kern w:val="2"/>
          <w:sz w:val="28"/>
          <w:szCs w:val="28"/>
          <w:lang w:val="en-US" w:eastAsia="zh-CN" w:bidi="ar-SA"/>
        </w:rPr>
        <w:t>。</w:t>
      </w:r>
    </w:p>
    <w:p>
      <w:pPr>
        <w:pStyle w:val="6"/>
        <w:bidi w:val="0"/>
        <w:rPr>
          <w:rFonts w:hint="eastAsia"/>
          <w:lang w:val="en-US" w:eastAsia="zh-CN"/>
        </w:rPr>
      </w:pPr>
      <w:r>
        <w:rPr>
          <w:rFonts w:hint="eastAsia"/>
          <w:lang w:eastAsia="zh-CN"/>
        </w:rPr>
        <w:t>2.4.</w:t>
      </w:r>
      <w:r>
        <w:rPr>
          <w:rFonts w:hint="eastAsia"/>
          <w:lang w:val="en-US" w:eastAsia="zh-CN"/>
        </w:rPr>
        <w:t>6</w:t>
      </w:r>
      <w:r>
        <w:rPr>
          <w:rFonts w:hint="eastAsia"/>
          <w:lang w:eastAsia="zh-CN"/>
        </w:rPr>
        <w:t>.2现状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矿山目前采用2台徐工挖掘机负责矿石铲装挖掘、1台柳工50装载机配合平整场地、矿岩的转运作业，采用装载机铲装，自卸汽车运输的方式。</w:t>
      </w:r>
    </w:p>
    <w:p>
      <w:pPr>
        <w:pStyle w:val="5"/>
        <w:bidi w:val="0"/>
        <w:rPr>
          <w:rFonts w:hint="eastAsia"/>
          <w:lang w:eastAsia="zh-CN"/>
        </w:rPr>
      </w:pPr>
      <w:bookmarkStart w:id="160" w:name="_Toc22210"/>
      <w:r>
        <w:rPr>
          <w:rFonts w:hint="eastAsia"/>
          <w:lang w:eastAsia="zh-CN"/>
        </w:rPr>
        <w:t>2.4.</w:t>
      </w:r>
      <w:r>
        <w:rPr>
          <w:rFonts w:hint="eastAsia"/>
          <w:lang w:val="en-US" w:eastAsia="zh-CN"/>
        </w:rPr>
        <w:t>7</w:t>
      </w:r>
      <w:r>
        <w:rPr>
          <w:rFonts w:hint="eastAsia"/>
          <w:lang w:eastAsia="zh-CN"/>
        </w:rPr>
        <w:t>开拓运输系统</w:t>
      </w:r>
      <w:bookmarkEnd w:id="160"/>
    </w:p>
    <w:bookmarkEnd w:id="156"/>
    <w:p>
      <w:pPr>
        <w:pStyle w:val="6"/>
        <w:bidi w:val="0"/>
        <w:rPr>
          <w:rFonts w:hint="eastAsia" w:ascii="宋体" w:hAnsi="宋体" w:eastAsia="宋体" w:cs="宋体"/>
          <w:snapToGrid w:val="0"/>
          <w:color w:val="000000" w:themeColor="text1"/>
          <w:lang w:eastAsia="zh-CN" w:bidi="ar-SA"/>
          <w14:textFill>
            <w14:solidFill>
              <w14:schemeClr w14:val="tx1"/>
            </w14:solidFill>
          </w14:textFill>
        </w:rPr>
      </w:pPr>
      <w:r>
        <w:rPr>
          <w:rFonts w:hint="eastAsia"/>
          <w:lang w:eastAsia="zh-CN"/>
        </w:rPr>
        <w:t>2.4.</w:t>
      </w:r>
      <w:r>
        <w:rPr>
          <w:rFonts w:hint="eastAsia"/>
          <w:lang w:val="en-US" w:eastAsia="zh-CN"/>
        </w:rPr>
        <w:t>7</w:t>
      </w:r>
      <w:r>
        <w:rPr>
          <w:rFonts w:hint="eastAsia"/>
          <w:lang w:eastAsia="zh-CN"/>
        </w:rPr>
        <w:t>.1设计情况</w:t>
      </w:r>
    </w:p>
    <w:p>
      <w:pPr>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4"/>
          <w14:textFill>
            <w14:solidFill>
              <w14:schemeClr w14:val="tx1"/>
            </w14:solidFill>
          </w14:textFill>
        </w:rPr>
      </w:pPr>
      <w:r>
        <w:rPr>
          <w:rFonts w:hint="eastAsia" w:ascii="宋体" w:hAnsi="宋体" w:eastAsia="宋体" w:cs="宋体"/>
          <w:color w:val="000000" w:themeColor="text1"/>
          <w:sz w:val="28"/>
          <w:szCs w:val="24"/>
          <w14:textFill>
            <w14:solidFill>
              <w14:schemeClr w14:val="tx1"/>
            </w14:solidFill>
          </w14:textFill>
        </w:rPr>
        <w:t>露天采场为山坡露天采场，采用自卸汽车运输</w:t>
      </w:r>
      <w:r>
        <w:rPr>
          <w:rFonts w:hint="eastAsia" w:ascii="宋体" w:hAnsi="宋体" w:eastAsia="宋体" w:cs="宋体"/>
          <w:color w:val="000000" w:themeColor="text1"/>
          <w:sz w:val="28"/>
          <w:szCs w:val="24"/>
          <w:lang w:eastAsia="zh-CN"/>
          <w14:textFill>
            <w14:solidFill>
              <w14:schemeClr w14:val="tx1"/>
            </w14:solidFill>
          </w14:textFill>
        </w:rPr>
        <w:t>，</w:t>
      </w:r>
      <w:r>
        <w:rPr>
          <w:rFonts w:hint="eastAsia" w:ascii="宋体" w:hAnsi="宋体" w:eastAsia="宋体" w:cs="宋体"/>
          <w:color w:val="000000" w:themeColor="text1"/>
          <w:sz w:val="28"/>
          <w:szCs w:val="24"/>
          <w14:textFill>
            <w14:solidFill>
              <w14:schemeClr w14:val="tx1"/>
            </w14:solidFill>
          </w14:textFill>
        </w:rPr>
        <w:t>配备5t自卸汽车2辆，汽车在工作面采用折返式倒车。公路设计等级为三级泥结碎石路面，公路最大纵坡度采用10%，单车道路面宽度4.5m，</w:t>
      </w:r>
      <w:r>
        <w:rPr>
          <w:rFonts w:hint="eastAsia" w:ascii="宋体" w:hAnsi="宋体" w:eastAsia="宋体" w:cs="宋体"/>
          <w:color w:val="000000" w:themeColor="text1"/>
          <w:sz w:val="28"/>
          <w:szCs w:val="24"/>
          <w:lang w:val="en-US" w:eastAsia="zh-CN"/>
          <w14:textFill>
            <w14:solidFill>
              <w14:schemeClr w14:val="tx1"/>
            </w14:solidFill>
          </w14:textFill>
        </w:rPr>
        <w:t>最小转弯半径15m，</w:t>
      </w:r>
      <w:r>
        <w:rPr>
          <w:rFonts w:hint="eastAsia" w:ascii="宋体" w:hAnsi="宋体" w:eastAsia="宋体" w:cs="宋体"/>
          <w:color w:val="000000" w:themeColor="text1"/>
          <w:sz w:val="28"/>
          <w:szCs w:val="24"/>
          <w14:textFill>
            <w14:solidFill>
              <w14:schemeClr w14:val="tx1"/>
            </w14:solidFill>
          </w14:textFill>
        </w:rPr>
        <w:t>矿石及废石土经汽车运输至矿石堆场。</w:t>
      </w:r>
    </w:p>
    <w:p>
      <w:pPr>
        <w:pStyle w:val="6"/>
        <w:bidi w:val="0"/>
        <w:rPr>
          <w:rFonts w:hint="eastAsia" w:ascii="宋体" w:hAnsi="宋体" w:eastAsia="宋体" w:cs="宋体"/>
          <w:snapToGrid w:val="0"/>
          <w:color w:val="000000" w:themeColor="text1"/>
          <w:lang w:eastAsia="zh-CN" w:bidi="ar-SA"/>
          <w14:textFill>
            <w14:solidFill>
              <w14:schemeClr w14:val="tx1"/>
            </w14:solidFill>
          </w14:textFill>
        </w:rPr>
      </w:pPr>
      <w:r>
        <w:rPr>
          <w:rFonts w:hint="eastAsia"/>
          <w:lang w:eastAsia="zh-CN"/>
        </w:rPr>
        <w:t>2.4.</w:t>
      </w:r>
      <w:r>
        <w:rPr>
          <w:rFonts w:hint="eastAsia"/>
          <w:lang w:val="en-US" w:eastAsia="zh-CN"/>
        </w:rPr>
        <w:t>7</w:t>
      </w:r>
      <w:r>
        <w:rPr>
          <w:rFonts w:hint="eastAsia"/>
          <w:lang w:eastAsia="zh-CN"/>
        </w:rPr>
        <w:t>.2现状</w:t>
      </w:r>
    </w:p>
    <w:p>
      <w:pPr>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4"/>
          <w14:textFill>
            <w14:solidFill>
              <w14:schemeClr w14:val="tx1"/>
            </w14:solidFill>
          </w14:textFill>
        </w:rPr>
      </w:pPr>
      <w:r>
        <w:rPr>
          <w:rFonts w:hint="eastAsia" w:ascii="宋体" w:hAnsi="宋体" w:eastAsia="宋体" w:cs="宋体"/>
          <w:color w:val="000000" w:themeColor="text1"/>
          <w:sz w:val="28"/>
          <w:szCs w:val="24"/>
          <w14:textFill>
            <w14:solidFill>
              <w14:schemeClr w14:val="tx1"/>
            </w14:solidFill>
          </w14:textFill>
        </w:rPr>
        <w:t>露天采场为山坡露天采场，汽车在工作面采用折返式倒车</w:t>
      </w:r>
      <w:r>
        <w:rPr>
          <w:rFonts w:hint="eastAsia" w:ascii="宋体" w:hAnsi="宋体" w:eastAsia="宋体" w:cs="宋体"/>
          <w:color w:val="000000" w:themeColor="text1"/>
          <w:sz w:val="28"/>
          <w:szCs w:val="24"/>
          <w:lang w:eastAsia="zh-CN"/>
          <w14:textFill>
            <w14:solidFill>
              <w14:schemeClr w14:val="tx1"/>
            </w14:solidFill>
          </w14:textFill>
        </w:rPr>
        <w:t>，</w:t>
      </w:r>
      <w:r>
        <w:rPr>
          <w:rFonts w:hint="eastAsia" w:ascii="宋体" w:hAnsi="宋体" w:eastAsia="宋体" w:cs="宋体"/>
          <w:color w:val="000000" w:themeColor="text1"/>
          <w:sz w:val="28"/>
          <w:szCs w:val="24"/>
          <w14:textFill>
            <w14:solidFill>
              <w14:schemeClr w14:val="tx1"/>
            </w14:solidFill>
          </w14:textFill>
        </w:rPr>
        <w:t>矿石及废石土经汽车运输至矿石堆场。</w:t>
      </w:r>
    </w:p>
    <w:p>
      <w:pPr>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4"/>
          <w14:textFill>
            <w14:solidFill>
              <w14:schemeClr w14:val="tx1"/>
            </w14:solidFill>
          </w14:textFill>
        </w:rPr>
      </w:pPr>
      <w:r>
        <w:rPr>
          <w:rFonts w:hint="eastAsia" w:ascii="宋体" w:hAnsi="宋体" w:eastAsia="宋体" w:cs="宋体"/>
          <w:color w:val="000000" w:themeColor="text1"/>
          <w:sz w:val="28"/>
          <w:szCs w:val="24"/>
          <w:lang w:val="en-US" w:eastAsia="zh-CN"/>
          <w14:textFill>
            <w14:solidFill>
              <w14:schemeClr w14:val="tx1"/>
            </w14:solidFill>
          </w14:textFill>
        </w:rPr>
        <w:t>现场勘查，当前</w:t>
      </w:r>
      <w:r>
        <w:rPr>
          <w:rFonts w:hint="eastAsia" w:ascii="宋体" w:hAnsi="宋体" w:eastAsia="宋体" w:cs="宋体"/>
          <w:color w:val="000000" w:themeColor="text1"/>
          <w:sz w:val="28"/>
          <w:szCs w:val="24"/>
          <w14:textFill>
            <w14:solidFill>
              <w14:schemeClr w14:val="tx1"/>
            </w14:solidFill>
          </w14:textFill>
        </w:rPr>
        <w:t>矿区运输公路布置在矿区</w:t>
      </w:r>
      <w:r>
        <w:rPr>
          <w:rFonts w:hint="eastAsia" w:ascii="宋体" w:hAnsi="宋体" w:eastAsia="宋体" w:cs="宋体"/>
          <w:color w:val="000000" w:themeColor="text1"/>
          <w:sz w:val="28"/>
          <w:szCs w:val="24"/>
          <w:lang w:val="en-US" w:eastAsia="zh-CN"/>
          <w14:textFill>
            <w14:solidFill>
              <w14:schemeClr w14:val="tx1"/>
            </w14:solidFill>
          </w14:textFill>
        </w:rPr>
        <w:t>东</w:t>
      </w:r>
      <w:r>
        <w:rPr>
          <w:rFonts w:hint="eastAsia" w:ascii="宋体" w:hAnsi="宋体" w:eastAsia="宋体" w:cs="宋体"/>
          <w:color w:val="000000" w:themeColor="text1"/>
          <w:sz w:val="28"/>
          <w:szCs w:val="24"/>
          <w14:textFill>
            <w14:solidFill>
              <w14:schemeClr w14:val="tx1"/>
            </w14:solidFill>
          </w14:textFill>
        </w:rPr>
        <w:t>侧，</w:t>
      </w:r>
      <w:r>
        <w:rPr>
          <w:rFonts w:hint="eastAsia" w:ascii="宋体" w:hAnsi="宋体" w:eastAsia="宋体" w:cs="宋体"/>
          <w:color w:val="000000" w:themeColor="text1"/>
          <w:sz w:val="28"/>
          <w:szCs w:val="24"/>
          <w:lang w:val="en-US" w:eastAsia="zh-CN"/>
          <w14:textFill>
            <w14:solidFill>
              <w14:schemeClr w14:val="tx1"/>
            </w14:solidFill>
          </w14:textFill>
        </w:rPr>
        <w:t>采区距离矿石堆场，运途较短。</w:t>
      </w:r>
      <w:r>
        <w:rPr>
          <w:rFonts w:hint="eastAsia" w:ascii="宋体" w:hAnsi="宋体" w:eastAsia="宋体" w:cs="宋体"/>
          <w:color w:val="000000" w:themeColor="text1"/>
          <w:sz w:val="28"/>
          <w:szCs w:val="24"/>
          <w14:textFill>
            <w14:solidFill>
              <w14:schemeClr w14:val="tx1"/>
            </w14:solidFill>
          </w14:textFill>
        </w:rPr>
        <w:t>运输道路路面宽度</w:t>
      </w:r>
      <w:r>
        <w:rPr>
          <w:rFonts w:hint="eastAsia" w:ascii="宋体" w:hAnsi="宋体" w:eastAsia="宋体" w:cs="宋体"/>
          <w:color w:val="000000" w:themeColor="text1"/>
          <w:sz w:val="28"/>
          <w:szCs w:val="24"/>
          <w:lang w:val="en-US" w:eastAsia="zh-CN"/>
          <w14:textFill>
            <w14:solidFill>
              <w14:schemeClr w14:val="tx1"/>
            </w14:solidFill>
          </w14:textFill>
        </w:rPr>
        <w:t>5～7</w:t>
      </w:r>
      <w:r>
        <w:rPr>
          <w:rFonts w:hint="eastAsia" w:ascii="宋体" w:hAnsi="宋体" w:eastAsia="宋体" w:cs="宋体"/>
          <w:color w:val="000000" w:themeColor="text1"/>
          <w:sz w:val="28"/>
          <w:szCs w:val="24"/>
          <w14:textFill>
            <w14:solidFill>
              <w14:schemeClr w14:val="tx1"/>
            </w14:solidFill>
          </w14:textFill>
        </w:rPr>
        <w:t>m，最大纵坡</w:t>
      </w:r>
      <w:r>
        <w:rPr>
          <w:rFonts w:hint="eastAsia" w:ascii="宋体" w:hAnsi="宋体" w:eastAsia="宋体" w:cs="宋体"/>
          <w:color w:val="000000" w:themeColor="text1"/>
          <w:sz w:val="28"/>
          <w:szCs w:val="24"/>
          <w:lang w:val="en-US" w:eastAsia="zh-CN"/>
          <w14:textFill>
            <w14:solidFill>
              <w14:schemeClr w14:val="tx1"/>
            </w14:solidFill>
          </w14:textFill>
        </w:rPr>
        <w:t>8.8</w:t>
      </w:r>
      <w:r>
        <w:rPr>
          <w:rFonts w:hint="eastAsia" w:ascii="宋体" w:hAnsi="宋体" w:eastAsia="宋体" w:cs="宋体"/>
          <w:color w:val="000000" w:themeColor="text1"/>
          <w:sz w:val="28"/>
          <w:szCs w:val="24"/>
          <w14:textFill>
            <w14:solidFill>
              <w14:schemeClr w14:val="tx1"/>
            </w14:solidFill>
          </w14:textFill>
        </w:rPr>
        <w:t>%，平均纵坡</w:t>
      </w:r>
      <w:r>
        <w:rPr>
          <w:rFonts w:hint="eastAsia" w:ascii="宋体" w:hAnsi="宋体" w:eastAsia="宋体" w:cs="宋体"/>
          <w:color w:val="000000" w:themeColor="text1"/>
          <w:sz w:val="28"/>
          <w:szCs w:val="24"/>
          <w:lang w:val="en-US" w:eastAsia="zh-CN"/>
          <w14:textFill>
            <w14:solidFill>
              <w14:schemeClr w14:val="tx1"/>
            </w14:solidFill>
          </w14:textFill>
        </w:rPr>
        <w:t>6.4</w:t>
      </w:r>
      <w:r>
        <w:rPr>
          <w:rFonts w:hint="eastAsia" w:ascii="宋体" w:hAnsi="宋体" w:eastAsia="宋体" w:cs="宋体"/>
          <w:color w:val="000000" w:themeColor="text1"/>
          <w:sz w:val="28"/>
          <w:szCs w:val="24"/>
          <w14:textFill>
            <w14:solidFill>
              <w14:schemeClr w14:val="tx1"/>
            </w14:solidFill>
          </w14:textFill>
        </w:rPr>
        <w:t>%，道路最小转弯半径15m。</w:t>
      </w:r>
    </w:p>
    <w:p>
      <w:pPr>
        <w:pStyle w:val="5"/>
        <w:bidi w:val="0"/>
        <w:rPr>
          <w:rFonts w:hint="eastAsia" w:ascii="宋体" w:hAnsi="宋体"/>
          <w:color w:val="auto"/>
          <w:kern w:val="2"/>
          <w:szCs w:val="28"/>
          <w:lang w:eastAsia="zh-CN" w:bidi="ar-SA"/>
        </w:rPr>
      </w:pPr>
      <w:bookmarkStart w:id="161" w:name="_Toc350324549"/>
      <w:bookmarkStart w:id="162" w:name="_Toc24399"/>
      <w:r>
        <w:rPr>
          <w:rFonts w:hint="eastAsia"/>
          <w:lang w:eastAsia="zh-CN"/>
        </w:rPr>
        <w:t>2.4.</w:t>
      </w:r>
      <w:bookmarkEnd w:id="161"/>
      <w:r>
        <w:rPr>
          <w:rFonts w:hint="eastAsia"/>
          <w:lang w:val="en-US" w:eastAsia="zh-CN"/>
        </w:rPr>
        <w:t>8</w:t>
      </w:r>
      <w:r>
        <w:rPr>
          <w:rFonts w:hint="eastAsia"/>
          <w:lang w:eastAsia="zh-CN"/>
        </w:rPr>
        <w:t>采场防排水</w:t>
      </w:r>
      <w:bookmarkEnd w:id="162"/>
    </w:p>
    <w:p>
      <w:pPr>
        <w:pStyle w:val="6"/>
        <w:bidi w:val="0"/>
        <w:rPr>
          <w:rFonts w:hint="eastAsia"/>
          <w:lang w:eastAsia="zh-CN"/>
        </w:rPr>
      </w:pPr>
      <w:r>
        <w:rPr>
          <w:rFonts w:hint="eastAsia"/>
          <w:lang w:eastAsia="zh-CN"/>
        </w:rPr>
        <w:t>2.4.</w:t>
      </w:r>
      <w:r>
        <w:rPr>
          <w:rFonts w:hint="eastAsia"/>
          <w:lang w:val="en-US" w:eastAsia="zh-CN"/>
        </w:rPr>
        <w:t>8</w:t>
      </w:r>
      <w:r>
        <w:rPr>
          <w:rFonts w:hint="eastAsia"/>
          <w:lang w:eastAsia="zh-CN"/>
        </w:rPr>
        <w:t>.1设计情况</w:t>
      </w:r>
    </w:p>
    <w:p>
      <w:pPr>
        <w:pStyle w:val="10"/>
        <w:spacing w:line="500" w:lineRule="exact"/>
        <w:ind w:firstLine="560" w:firstLineChars="200"/>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矿山属于山坡露天矿，露天采场底部标高1845m，高于当地侵蚀基准面以上，大气降水可沿地形坡度自然排泄。</w:t>
      </w:r>
    </w:p>
    <w:p>
      <w:pPr>
        <w:pStyle w:val="10"/>
        <w:spacing w:line="500" w:lineRule="exact"/>
        <w:ind w:firstLine="560" w:firstLineChars="200"/>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在矿山开采境界外设置截洪沟，截洪沟的尺寸为0.8m×0.6m，截洪沟总长820m，利用水流重力自然排出采场。</w:t>
      </w:r>
    </w:p>
    <w:p>
      <w:pPr>
        <w:pStyle w:val="10"/>
        <w:spacing w:line="500" w:lineRule="exact"/>
        <w:ind w:firstLine="560" w:firstLineChars="200"/>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在采场清扫平台及矿区运输道路设置排水沟，截水沟的净断面尺寸为0.5m×0.3m，设置1%坡度，利用水流重力自然排出采场、矿区公路水流顺排水沟沿山坡下流至山脚。</w:t>
      </w:r>
    </w:p>
    <w:p>
      <w:pPr>
        <w:pStyle w:val="10"/>
        <w:spacing w:line="500" w:lineRule="exact"/>
        <w:ind w:firstLine="560" w:firstLineChars="200"/>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沿着沉砂池顶部设置截洪沟，平均沟宽0.7m，沟深0.6m，沉砂池上部汇集的雨水通过截洪沟排出场外。</w:t>
      </w:r>
    </w:p>
    <w:p>
      <w:pPr>
        <w:pStyle w:val="6"/>
        <w:bidi w:val="0"/>
        <w:rPr>
          <w:rFonts w:hint="eastAsia" w:ascii="宋体" w:hAnsi="宋体" w:eastAsia="宋体" w:cs="宋体"/>
          <w:snapToGrid w:val="0"/>
          <w:color w:val="auto"/>
          <w:lang w:eastAsia="zh-CN" w:bidi="ar-SA"/>
        </w:rPr>
      </w:pPr>
      <w:r>
        <w:rPr>
          <w:rFonts w:hint="eastAsia"/>
          <w:lang w:eastAsia="zh-CN"/>
        </w:rPr>
        <w:t>2.4.</w:t>
      </w:r>
      <w:r>
        <w:rPr>
          <w:rFonts w:hint="eastAsia"/>
          <w:lang w:val="en-US" w:eastAsia="zh-CN"/>
        </w:rPr>
        <w:t>8</w:t>
      </w:r>
      <w:r>
        <w:rPr>
          <w:rFonts w:hint="eastAsia"/>
          <w:lang w:eastAsia="zh-CN"/>
        </w:rPr>
        <w:t>.2现状</w:t>
      </w:r>
    </w:p>
    <w:p>
      <w:pPr>
        <w:spacing w:line="500" w:lineRule="exact"/>
        <w:ind w:firstLine="560" w:firstLineChars="200"/>
        <w:rPr>
          <w:rFonts w:hint="eastAsia"/>
          <w:sz w:val="28"/>
          <w:szCs w:val="24"/>
        </w:rPr>
      </w:pPr>
      <w:bookmarkStart w:id="163" w:name="_Hlk99305121"/>
      <w:bookmarkStart w:id="164" w:name="_Toc26915"/>
      <w:r>
        <w:rPr>
          <w:rFonts w:hint="eastAsia"/>
          <w:sz w:val="28"/>
          <w:szCs w:val="24"/>
          <w:lang w:val="en-US" w:eastAsia="zh-CN"/>
        </w:rPr>
        <w:t>现场勘查，</w:t>
      </w:r>
      <w:r>
        <w:rPr>
          <w:rFonts w:hint="eastAsia"/>
          <w:sz w:val="28"/>
          <w:szCs w:val="24"/>
        </w:rPr>
        <w:t>矿</w:t>
      </w:r>
      <w:r>
        <w:rPr>
          <w:rFonts w:hint="eastAsia" w:ascii="Times New Roman" w:hAnsi="Times New Roman" w:eastAsia="宋体" w:cs="Times New Roman"/>
          <w:sz w:val="28"/>
          <w:szCs w:val="24"/>
        </w:rPr>
        <w:t>山为山坡型露天矿，在矿山开采境界外设置</w:t>
      </w:r>
      <w:r>
        <w:rPr>
          <w:rFonts w:hint="eastAsia" w:ascii="Times New Roman" w:hAnsi="Times New Roman" w:eastAsia="宋体" w:cs="Times New Roman"/>
          <w:sz w:val="28"/>
          <w:szCs w:val="24"/>
          <w:lang w:val="en-US" w:eastAsia="zh-CN"/>
        </w:rPr>
        <w:t>土渠</w:t>
      </w:r>
      <w:r>
        <w:rPr>
          <w:rFonts w:hint="eastAsia" w:ascii="Times New Roman" w:hAnsi="Times New Roman" w:eastAsia="宋体" w:cs="Times New Roman"/>
          <w:sz w:val="28"/>
          <w:szCs w:val="24"/>
        </w:rPr>
        <w:t>截</w:t>
      </w:r>
      <w:r>
        <w:rPr>
          <w:rFonts w:hint="eastAsia" w:ascii="Times New Roman" w:hAnsi="Times New Roman" w:eastAsia="宋体" w:cs="Times New Roman"/>
          <w:sz w:val="28"/>
          <w:szCs w:val="24"/>
          <w:lang w:val="en-US" w:eastAsia="zh-CN"/>
        </w:rPr>
        <w:t>水</w:t>
      </w:r>
      <w:r>
        <w:rPr>
          <w:rFonts w:hint="eastAsia" w:ascii="Times New Roman" w:hAnsi="Times New Roman" w:eastAsia="宋体" w:cs="Times New Roman"/>
          <w:sz w:val="28"/>
          <w:szCs w:val="24"/>
        </w:rPr>
        <w:t>沟，截</w:t>
      </w:r>
      <w:r>
        <w:rPr>
          <w:rFonts w:hint="eastAsia" w:ascii="Times New Roman" w:hAnsi="Times New Roman" w:eastAsia="宋体" w:cs="Times New Roman"/>
          <w:sz w:val="28"/>
          <w:szCs w:val="24"/>
          <w:lang w:val="en-US" w:eastAsia="zh-CN"/>
        </w:rPr>
        <w:t>水</w:t>
      </w:r>
      <w:r>
        <w:rPr>
          <w:rFonts w:hint="eastAsia" w:ascii="Times New Roman" w:hAnsi="Times New Roman" w:eastAsia="宋体" w:cs="Times New Roman"/>
          <w:sz w:val="28"/>
          <w:szCs w:val="24"/>
        </w:rPr>
        <w:t>沟的尺寸为0.8m×0.6m。</w:t>
      </w:r>
      <w:r>
        <w:rPr>
          <w:rFonts w:hint="eastAsia" w:cs="Times New Roman"/>
          <w:sz w:val="28"/>
          <w:szCs w:val="24"/>
          <w:lang w:val="en-US" w:eastAsia="zh-CN"/>
        </w:rPr>
        <w:t>运矿公路内侧修建排水沟，</w:t>
      </w:r>
      <w:r>
        <w:rPr>
          <w:rFonts w:hint="eastAsia" w:ascii="Times New Roman" w:hAnsi="Times New Roman" w:eastAsia="宋体" w:cs="Times New Roman"/>
          <w:sz w:val="28"/>
          <w:szCs w:val="24"/>
          <w:lang w:val="en-US" w:eastAsia="zh-CN"/>
        </w:rPr>
        <w:t>未在平台内侧修建平台排水沟</w:t>
      </w:r>
      <w:r>
        <w:rPr>
          <w:rFonts w:hint="eastAsia"/>
          <w:sz w:val="28"/>
          <w:szCs w:val="24"/>
        </w:rPr>
        <w:t>。</w:t>
      </w:r>
    </w:p>
    <w:p>
      <w:pPr>
        <w:spacing w:line="500" w:lineRule="exact"/>
        <w:ind w:firstLine="560" w:firstLineChars="200"/>
        <w:rPr>
          <w:rFonts w:hint="default"/>
          <w:sz w:val="28"/>
          <w:szCs w:val="24"/>
          <w:lang w:val="en-US" w:eastAsia="zh-CN"/>
        </w:rPr>
      </w:pPr>
      <w:r>
        <w:rPr>
          <w:rFonts w:hint="eastAsia"/>
          <w:sz w:val="28"/>
          <w:szCs w:val="24"/>
          <w:lang w:val="en-US" w:eastAsia="zh-CN"/>
        </w:rPr>
        <w:t>在堆土区下方西侧设置了沉沙集水坑，</w:t>
      </w:r>
      <w:r>
        <w:rPr>
          <w:rFonts w:hint="eastAsia" w:ascii="Times New Roman" w:hAnsi="Times New Roman" w:cs="Times New Roman"/>
          <w:color w:val="auto"/>
          <w:sz w:val="28"/>
          <w:szCs w:val="28"/>
          <w:lang w:val="en-US" w:eastAsia="zh-CN"/>
        </w:rPr>
        <w:t>在</w:t>
      </w:r>
      <w:r>
        <w:rPr>
          <w:rFonts w:hint="default" w:ascii="Times New Roman" w:hAnsi="Times New Roman" w:cs="Times New Roman"/>
          <w:color w:val="auto"/>
          <w:sz w:val="28"/>
          <w:szCs w:val="28"/>
        </w:rPr>
        <w:t>集水坑</w:t>
      </w:r>
      <w:r>
        <w:rPr>
          <w:rFonts w:hint="eastAsia" w:ascii="Times New Roman" w:hAnsi="Times New Roman" w:cs="Times New Roman"/>
          <w:color w:val="auto"/>
          <w:sz w:val="28"/>
          <w:szCs w:val="28"/>
          <w:lang w:val="en-US" w:eastAsia="zh-CN"/>
        </w:rPr>
        <w:t>内集水采用1台</w:t>
      </w:r>
      <w:r>
        <w:rPr>
          <w:rFonts w:hint="default" w:ascii="Times New Roman" w:hAnsi="Times New Roman" w:cs="Times New Roman"/>
          <w:color w:val="auto"/>
          <w:sz w:val="28"/>
          <w:szCs w:val="28"/>
        </w:rPr>
        <w:t>排水</w:t>
      </w:r>
      <w:r>
        <w:rPr>
          <w:rFonts w:hint="eastAsia" w:ascii="Times New Roman" w:hAnsi="Times New Roman" w:cs="Times New Roman"/>
          <w:color w:val="auto"/>
          <w:sz w:val="28"/>
          <w:szCs w:val="28"/>
          <w:lang w:val="en-US" w:eastAsia="zh-CN"/>
        </w:rPr>
        <w:t>泵</w:t>
      </w:r>
      <w:r>
        <w:rPr>
          <w:rFonts w:hint="default" w:ascii="Times New Roman" w:hAnsi="Times New Roman" w:cs="Times New Roman"/>
          <w:color w:val="auto"/>
          <w:sz w:val="28"/>
          <w:szCs w:val="28"/>
        </w:rPr>
        <w:t>扬送至</w:t>
      </w:r>
      <w:r>
        <w:rPr>
          <w:rFonts w:hint="eastAsia" w:ascii="Times New Roman" w:hAnsi="Times New Roman" w:cs="Times New Roman"/>
          <w:color w:val="auto"/>
          <w:sz w:val="28"/>
          <w:szCs w:val="28"/>
          <w:lang w:val="en-US" w:eastAsia="zh-CN"/>
        </w:rPr>
        <w:t>西侧人</w:t>
      </w:r>
      <w:r>
        <w:rPr>
          <w:rFonts w:hint="eastAsia" w:ascii="Times New Roman" w:hAnsi="Times New Roman" w:eastAsia="宋体" w:cs="Times New Roman"/>
          <w:color w:val="auto"/>
          <w:sz w:val="28"/>
          <w:szCs w:val="28"/>
          <w:lang w:val="en-US" w:eastAsia="zh-CN"/>
        </w:rPr>
        <w:t>行道路另一侧的淤泥池中。</w:t>
      </w:r>
    </w:p>
    <w:bookmarkEnd w:id="163"/>
    <w:bookmarkEnd w:id="164"/>
    <w:p>
      <w:pPr>
        <w:pStyle w:val="5"/>
        <w:bidi w:val="0"/>
        <w:rPr>
          <w:rFonts w:hint="eastAsia"/>
          <w:lang w:eastAsia="zh-CN"/>
        </w:rPr>
      </w:pPr>
      <w:bookmarkStart w:id="165" w:name="_Toc15744"/>
      <w:r>
        <w:rPr>
          <w:rFonts w:hint="eastAsia"/>
          <w:lang w:eastAsia="zh-CN"/>
        </w:rPr>
        <w:t>2.4.</w:t>
      </w:r>
      <w:r>
        <w:rPr>
          <w:rFonts w:hint="eastAsia"/>
          <w:lang w:val="en-US" w:eastAsia="zh-CN"/>
        </w:rPr>
        <w:t>9</w:t>
      </w:r>
      <w:r>
        <w:rPr>
          <w:rFonts w:hint="eastAsia"/>
          <w:lang w:eastAsia="zh-CN"/>
        </w:rPr>
        <w:t>供配电</w:t>
      </w:r>
      <w:bookmarkEnd w:id="165"/>
    </w:p>
    <w:p>
      <w:pPr>
        <w:pStyle w:val="6"/>
        <w:bidi w:val="0"/>
        <w:rPr>
          <w:rFonts w:hint="eastAsia" w:ascii="宋体" w:hAnsi="宋体" w:eastAsia="宋体" w:cs="宋体"/>
          <w:snapToGrid w:val="0"/>
          <w:color w:val="auto"/>
          <w:lang w:eastAsia="zh-CN" w:bidi="ar-SA"/>
        </w:rPr>
      </w:pPr>
      <w:r>
        <w:rPr>
          <w:rFonts w:hint="eastAsia"/>
          <w:lang w:eastAsia="zh-CN"/>
        </w:rPr>
        <w:t>2.4.</w:t>
      </w:r>
      <w:r>
        <w:rPr>
          <w:rFonts w:hint="eastAsia"/>
          <w:lang w:val="en-US" w:eastAsia="zh-CN"/>
        </w:rPr>
        <w:t>9</w:t>
      </w:r>
      <w:r>
        <w:rPr>
          <w:rFonts w:hint="eastAsia"/>
          <w:lang w:eastAsia="zh-CN"/>
        </w:rPr>
        <w:t>.1设计情况</w:t>
      </w:r>
    </w:p>
    <w:p>
      <w:pPr>
        <w:wordWrap/>
        <w:topLinePunct w:val="0"/>
        <w:autoSpaceDE w:val="0"/>
        <w:autoSpaceDN w:val="0"/>
        <w:bidi w:val="0"/>
        <w:spacing w:line="50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矿区用电从当地电网10kV引入，矿山供电由该电网统一供电，矿山原安装有1台200KVA，通过变压器降压后分出380V和220V分别供至生产区和生活区。</w:t>
      </w:r>
    </w:p>
    <w:p>
      <w:pPr>
        <w:pStyle w:val="6"/>
        <w:bidi w:val="0"/>
        <w:rPr>
          <w:rFonts w:hint="eastAsia"/>
          <w:lang w:eastAsia="zh-CN"/>
        </w:rPr>
      </w:pPr>
      <w:r>
        <w:rPr>
          <w:rFonts w:hint="eastAsia"/>
          <w:lang w:eastAsia="zh-CN"/>
        </w:rPr>
        <w:t>2.4.</w:t>
      </w:r>
      <w:r>
        <w:rPr>
          <w:rFonts w:hint="eastAsia"/>
          <w:lang w:val="en-US" w:eastAsia="zh-CN"/>
        </w:rPr>
        <w:t>9</w:t>
      </w:r>
      <w:r>
        <w:rPr>
          <w:rFonts w:hint="eastAsia"/>
          <w:lang w:eastAsia="zh-CN"/>
        </w:rPr>
        <w:t>.2现状</w:t>
      </w:r>
      <w:r>
        <w:rPr>
          <w:lang w:eastAsia="zh-CN"/>
        </w:rPr>
        <w:tab/>
      </w:r>
    </w:p>
    <w:p>
      <w:pPr>
        <w:wordWrap/>
        <w:topLinePunct w:val="0"/>
        <w:autoSpaceDE w:val="0"/>
        <w:autoSpaceDN w:val="0"/>
        <w:bidi w:val="0"/>
        <w:spacing w:line="50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zh-TW" w:eastAsia="zh-CN" w:bidi="ar-SA"/>
        </w:rPr>
        <w:t>矿山供电电源取自附近电，输入电压10kV，</w:t>
      </w:r>
      <w:r>
        <w:rPr>
          <w:rFonts w:hint="default" w:ascii="宋体" w:hAnsi="宋体" w:eastAsia="宋体" w:cs="宋体"/>
          <w:color w:val="auto"/>
          <w:kern w:val="2"/>
          <w:sz w:val="28"/>
          <w:szCs w:val="28"/>
          <w:lang w:val="zh-TW" w:eastAsia="zh-CN" w:bidi="ar-SA"/>
        </w:rPr>
        <w:t>经</w:t>
      </w:r>
      <w:r>
        <w:rPr>
          <w:rFonts w:hint="default" w:ascii="宋体" w:hAnsi="宋体" w:eastAsia="宋体" w:cs="宋体"/>
          <w:color w:val="auto"/>
          <w:kern w:val="2"/>
          <w:sz w:val="28"/>
          <w:szCs w:val="28"/>
          <w:lang w:val="en-US" w:eastAsia="zh-CN" w:bidi="ar-SA"/>
        </w:rPr>
        <w:t>矿山1台</w:t>
      </w:r>
      <w:r>
        <w:rPr>
          <w:rFonts w:hint="eastAsia" w:ascii="宋体" w:hAnsi="宋体" w:eastAsia="宋体" w:cs="宋体"/>
          <w:color w:val="auto"/>
          <w:kern w:val="2"/>
          <w:sz w:val="28"/>
          <w:szCs w:val="28"/>
          <w:lang w:val="en-US" w:eastAsia="zh-CN" w:bidi="ar-SA"/>
        </w:rPr>
        <w:t>1</w:t>
      </w:r>
      <w:r>
        <w:rPr>
          <w:rFonts w:hint="default" w:ascii="宋体" w:hAnsi="宋体" w:eastAsia="宋体" w:cs="宋体"/>
          <w:color w:val="auto"/>
          <w:kern w:val="2"/>
          <w:sz w:val="28"/>
          <w:szCs w:val="28"/>
          <w:lang w:val="zh-TW" w:eastAsia="zh-CN" w:bidi="ar-SA"/>
        </w:rPr>
        <w:t>00</w:t>
      </w:r>
      <w:r>
        <w:rPr>
          <w:rFonts w:hint="default" w:ascii="宋体" w:hAnsi="宋体" w:eastAsia="宋体" w:cs="宋体"/>
          <w:color w:val="auto"/>
          <w:kern w:val="2"/>
          <w:sz w:val="28"/>
          <w:szCs w:val="28"/>
          <w:lang w:val="en-US" w:eastAsia="zh-CN" w:bidi="ar-SA"/>
        </w:rPr>
        <w:t>k</w:t>
      </w:r>
      <w:r>
        <w:rPr>
          <w:rFonts w:hint="default" w:ascii="宋体" w:hAnsi="宋体" w:eastAsia="宋体" w:cs="宋体"/>
          <w:color w:val="auto"/>
          <w:kern w:val="2"/>
          <w:sz w:val="28"/>
          <w:szCs w:val="28"/>
          <w:lang w:val="zh-TW" w:eastAsia="zh-CN" w:bidi="ar-SA"/>
        </w:rPr>
        <w:t>VA变压器</w:t>
      </w:r>
      <w:r>
        <w:rPr>
          <w:rFonts w:hint="eastAsia" w:ascii="宋体" w:hAnsi="宋体" w:eastAsia="宋体" w:cs="宋体"/>
          <w:color w:val="auto"/>
          <w:kern w:val="2"/>
          <w:sz w:val="28"/>
          <w:szCs w:val="28"/>
          <w:lang w:val="en-US" w:eastAsia="zh-CN" w:bidi="ar-SA"/>
        </w:rPr>
        <w:t>和200kVA</w:t>
      </w:r>
      <w:r>
        <w:rPr>
          <w:rFonts w:hint="default" w:ascii="宋体" w:hAnsi="宋体" w:eastAsia="宋体" w:cs="宋体"/>
          <w:color w:val="auto"/>
          <w:kern w:val="2"/>
          <w:sz w:val="28"/>
          <w:szCs w:val="28"/>
          <w:lang w:val="zh-TW" w:eastAsia="zh-CN" w:bidi="ar-SA"/>
        </w:rPr>
        <w:t>变压器降压输出后对矿山所有设备进行供电，供电能满足矿山生产及生活需求。</w:t>
      </w:r>
      <w:r>
        <w:rPr>
          <w:rFonts w:hint="eastAsia" w:ascii="宋体" w:hAnsi="宋体" w:eastAsia="宋体" w:cs="宋体"/>
          <w:color w:val="auto"/>
          <w:kern w:val="2"/>
          <w:sz w:val="28"/>
          <w:szCs w:val="28"/>
          <w:lang w:val="en-US" w:eastAsia="zh-CN" w:bidi="ar-SA"/>
        </w:rPr>
        <w:t>变压器设置在矿区东南侧矿4点附近，</w:t>
      </w:r>
      <w:r>
        <w:rPr>
          <w:rFonts w:hint="default" w:ascii="宋体" w:hAnsi="宋体" w:eastAsia="宋体" w:cs="宋体"/>
          <w:color w:val="auto"/>
          <w:kern w:val="2"/>
          <w:sz w:val="28"/>
          <w:szCs w:val="28"/>
          <w:lang w:val="zh-TW" w:eastAsia="zh-CN" w:bidi="ar-SA"/>
        </w:rPr>
        <w:t>变压器</w:t>
      </w:r>
      <w:r>
        <w:rPr>
          <w:rFonts w:hint="default" w:ascii="宋体" w:hAnsi="宋体" w:eastAsia="宋体" w:cs="宋体"/>
          <w:color w:val="auto"/>
          <w:kern w:val="2"/>
          <w:sz w:val="28"/>
          <w:szCs w:val="28"/>
          <w:lang w:val="en-US" w:eastAsia="zh-CN" w:bidi="ar-SA"/>
        </w:rPr>
        <w:t>周围设置了</w:t>
      </w:r>
      <w:r>
        <w:rPr>
          <w:rFonts w:hint="eastAsia" w:ascii="宋体" w:hAnsi="宋体" w:eastAsia="宋体" w:cs="宋体"/>
          <w:color w:val="auto"/>
          <w:kern w:val="2"/>
          <w:sz w:val="28"/>
          <w:szCs w:val="28"/>
          <w:lang w:val="en-US" w:eastAsia="zh-CN" w:bidi="ar-SA"/>
        </w:rPr>
        <w:t>铁丝网围栏</w:t>
      </w:r>
      <w:r>
        <w:rPr>
          <w:rFonts w:hint="default" w:ascii="宋体" w:hAnsi="宋体" w:eastAsia="宋体" w:cs="宋体"/>
          <w:color w:val="auto"/>
          <w:kern w:val="2"/>
          <w:sz w:val="28"/>
          <w:szCs w:val="28"/>
          <w:lang w:val="en-US" w:eastAsia="zh-CN" w:bidi="ar-SA"/>
        </w:rPr>
        <w:t>，并在醒目处设置了安全警示标志</w:t>
      </w:r>
      <w:r>
        <w:rPr>
          <w:rFonts w:hint="eastAsia" w:ascii="宋体" w:hAnsi="宋体" w:eastAsia="宋体" w:cs="宋体"/>
          <w:color w:val="auto"/>
          <w:kern w:val="2"/>
          <w:sz w:val="28"/>
          <w:szCs w:val="28"/>
          <w:lang w:val="en-US" w:eastAsia="zh-CN" w:bidi="ar-SA"/>
        </w:rPr>
        <w:t>。</w:t>
      </w:r>
    </w:p>
    <w:p>
      <w:pPr>
        <w:wordWrap/>
        <w:topLinePunct w:val="0"/>
        <w:autoSpaceDE w:val="0"/>
        <w:autoSpaceDN w:val="0"/>
        <w:bidi w:val="0"/>
        <w:spacing w:line="50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default" w:ascii="宋体" w:hAnsi="宋体" w:eastAsia="宋体" w:cs="宋体"/>
          <w:color w:val="auto"/>
          <w:kern w:val="2"/>
          <w:sz w:val="28"/>
          <w:szCs w:val="28"/>
          <w:lang w:val="zh-TW" w:eastAsia="zh-CN" w:bidi="ar-SA"/>
        </w:rPr>
        <w:t>采场开采使用机械采掘运输，均为燃油驱动。矿山生产为白班作业，不涉及夜间作业，不需进行照明</w:t>
      </w:r>
      <w:r>
        <w:rPr>
          <w:rFonts w:hint="eastAsia" w:ascii="宋体" w:hAnsi="宋体" w:eastAsia="宋体" w:cs="宋体"/>
          <w:color w:val="auto"/>
          <w:kern w:val="2"/>
          <w:sz w:val="28"/>
          <w:szCs w:val="28"/>
          <w:lang w:val="en-US" w:eastAsia="zh-CN" w:bidi="ar-SA"/>
        </w:rPr>
        <w:t>。</w:t>
      </w:r>
    </w:p>
    <w:p>
      <w:pPr>
        <w:pStyle w:val="5"/>
        <w:bidi w:val="0"/>
        <w:rPr>
          <w:lang w:eastAsia="zh-CN"/>
        </w:rPr>
      </w:pPr>
      <w:bookmarkStart w:id="166" w:name="_Toc502865188"/>
      <w:bookmarkStart w:id="167" w:name="_Toc467792781"/>
      <w:bookmarkStart w:id="168" w:name="_Toc2325"/>
      <w:r>
        <w:rPr>
          <w:lang w:eastAsia="zh-CN"/>
        </w:rPr>
        <w:t>2.4.</w:t>
      </w:r>
      <w:r>
        <w:rPr>
          <w:rFonts w:hint="eastAsia"/>
          <w:lang w:eastAsia="zh-CN"/>
        </w:rPr>
        <w:t>1</w:t>
      </w:r>
      <w:r>
        <w:rPr>
          <w:rFonts w:hint="eastAsia"/>
          <w:lang w:val="en-US" w:eastAsia="zh-CN"/>
        </w:rPr>
        <w:t>0</w:t>
      </w:r>
      <w:r>
        <w:rPr>
          <w:lang w:eastAsia="zh-CN"/>
        </w:rPr>
        <w:t>通信系统</w:t>
      </w:r>
      <w:bookmarkEnd w:id="166"/>
      <w:bookmarkEnd w:id="167"/>
      <w:bookmarkEnd w:id="168"/>
    </w:p>
    <w:p>
      <w:pPr>
        <w:pStyle w:val="6"/>
        <w:bidi w:val="0"/>
        <w:rPr>
          <w:rFonts w:hint="eastAsia"/>
          <w:lang w:eastAsia="zh-CN"/>
        </w:rPr>
      </w:pPr>
      <w:bookmarkStart w:id="169" w:name="_Toc467792782"/>
      <w:bookmarkStart w:id="170" w:name="_Toc502865189"/>
      <w:r>
        <w:rPr>
          <w:lang w:eastAsia="zh-CN"/>
        </w:rPr>
        <w:t>2.4.</w:t>
      </w:r>
      <w:r>
        <w:rPr>
          <w:rFonts w:hint="eastAsia"/>
          <w:lang w:eastAsia="zh-CN"/>
        </w:rPr>
        <w:t>1</w:t>
      </w:r>
      <w:r>
        <w:rPr>
          <w:rFonts w:hint="eastAsia"/>
          <w:lang w:val="en-US" w:eastAsia="zh-CN"/>
        </w:rPr>
        <w:t>0</w:t>
      </w:r>
      <w:r>
        <w:rPr>
          <w:rFonts w:hint="eastAsia"/>
          <w:lang w:eastAsia="zh-CN"/>
        </w:rPr>
        <w:t>.1设计情况</w:t>
      </w:r>
    </w:p>
    <w:p>
      <w:pPr>
        <w:tabs>
          <w:tab w:val="left" w:pos="900"/>
        </w:tabs>
        <w:spacing w:line="50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矿区为中国移动和中国联通网络覆盖区，通信极为方便。同时在办公室配置1部移动电话，用于日产安全管理和事故应急处置。</w:t>
      </w:r>
    </w:p>
    <w:p>
      <w:pPr>
        <w:tabs>
          <w:tab w:val="left" w:pos="900"/>
        </w:tabs>
        <w:spacing w:line="500" w:lineRule="exact"/>
        <w:ind w:firstLine="560" w:firstLineChars="200"/>
        <w:jc w:val="left"/>
        <w:rPr>
          <w:rFonts w:hint="eastAsia" w:ascii="宋体" w:hAnsi="宋体" w:eastAsia="宋体" w:cs="宋体"/>
          <w:color w:val="000000"/>
          <w:sz w:val="28"/>
          <w:szCs w:val="28"/>
        </w:rPr>
      </w:pPr>
      <w:r>
        <w:rPr>
          <w:rFonts w:hint="eastAsia" w:ascii="宋体" w:hAnsi="宋体" w:eastAsia="宋体" w:cs="宋体"/>
          <w:color w:val="000000"/>
          <w:sz w:val="28"/>
          <w:szCs w:val="28"/>
        </w:rPr>
        <w:t>矿山配置对讲机3部，主要设采场1部、办公室1部、安全员1部，可以满足矿山安全管理和通信联络需要。</w:t>
      </w:r>
    </w:p>
    <w:p>
      <w:pPr>
        <w:pStyle w:val="6"/>
        <w:bidi w:val="0"/>
        <w:rPr>
          <w:rFonts w:hint="eastAsia"/>
          <w:lang w:eastAsia="zh-CN"/>
        </w:rPr>
      </w:pPr>
      <w:r>
        <w:rPr>
          <w:lang w:eastAsia="zh-CN"/>
        </w:rPr>
        <w:t>2.4.</w:t>
      </w:r>
      <w:r>
        <w:rPr>
          <w:rFonts w:hint="eastAsia"/>
          <w:lang w:eastAsia="zh-CN"/>
        </w:rPr>
        <w:t>1</w:t>
      </w:r>
      <w:r>
        <w:rPr>
          <w:rFonts w:hint="eastAsia"/>
          <w:lang w:val="en-US" w:eastAsia="zh-CN"/>
        </w:rPr>
        <w:t>0</w:t>
      </w:r>
      <w:r>
        <w:rPr>
          <w:rFonts w:hint="eastAsia"/>
          <w:lang w:eastAsia="zh-CN"/>
        </w:rPr>
        <w:t>.2现状</w:t>
      </w:r>
    </w:p>
    <w:p>
      <w:pPr>
        <w:spacing w:line="500" w:lineRule="exact"/>
        <w:ind w:firstLine="560" w:firstLineChars="200"/>
        <w:rPr>
          <w:rFonts w:hint="eastAsia" w:ascii="宋体" w:hAnsi="宋体" w:eastAsia="宋体" w:cs="宋体"/>
          <w:color w:val="auto"/>
          <w:kern w:val="2"/>
          <w:sz w:val="28"/>
          <w:szCs w:val="28"/>
          <w:lang w:val="en-US" w:eastAsia="zh-CN" w:bidi="ar-SA"/>
        </w:rPr>
      </w:pPr>
      <w:r>
        <w:rPr>
          <w:rFonts w:hint="eastAsia" w:ascii="宋体" w:hAnsi="宋体" w:eastAsia="宋体" w:cs="宋体"/>
          <w:sz w:val="28"/>
          <w:szCs w:val="24"/>
        </w:rPr>
        <w:t>矿区为中国移动、中国联通、中国电信网络覆盖区，通信网络完备，采区通讯内部通信主要使用手机及对讲机进行通讯。矿山制定了通讯录，将当地的各部门（如应急局、公安局、消防及救护队、120等）的联系电话制定成册。同时，矿山指定专门的负责人与外界进行联系。</w:t>
      </w:r>
    </w:p>
    <w:p>
      <w:pPr>
        <w:pStyle w:val="5"/>
        <w:bidi w:val="0"/>
        <w:rPr>
          <w:rFonts w:hint="eastAsia"/>
          <w:lang w:eastAsia="zh-CN"/>
        </w:rPr>
      </w:pPr>
      <w:bookmarkStart w:id="171" w:name="_Toc19146"/>
      <w:r>
        <w:rPr>
          <w:lang w:eastAsia="zh-CN"/>
        </w:rPr>
        <w:t>2.4.</w:t>
      </w:r>
      <w:r>
        <w:rPr>
          <w:rFonts w:hint="eastAsia"/>
          <w:lang w:eastAsia="zh-CN"/>
        </w:rPr>
        <w:t>1</w:t>
      </w:r>
      <w:r>
        <w:rPr>
          <w:rFonts w:hint="eastAsia"/>
          <w:lang w:val="en-US" w:eastAsia="zh-CN"/>
        </w:rPr>
        <w:t>1</w:t>
      </w:r>
      <w:r>
        <w:rPr>
          <w:lang w:eastAsia="zh-CN"/>
        </w:rPr>
        <w:t>个人安全防护</w:t>
      </w:r>
      <w:bookmarkEnd w:id="169"/>
      <w:bookmarkEnd w:id="170"/>
      <w:bookmarkEnd w:id="171"/>
    </w:p>
    <w:p>
      <w:pPr>
        <w:pStyle w:val="6"/>
        <w:bidi w:val="0"/>
        <w:rPr>
          <w:rFonts w:hint="eastAsia"/>
          <w:lang w:eastAsia="zh-CN"/>
        </w:rPr>
      </w:pPr>
      <w:r>
        <w:rPr>
          <w:lang w:eastAsia="zh-CN"/>
        </w:rPr>
        <w:t>2.4.</w:t>
      </w:r>
      <w:r>
        <w:rPr>
          <w:rFonts w:hint="eastAsia"/>
          <w:lang w:eastAsia="zh-CN"/>
        </w:rPr>
        <w:t>1</w:t>
      </w:r>
      <w:r>
        <w:rPr>
          <w:rFonts w:hint="eastAsia"/>
          <w:lang w:val="en-US" w:eastAsia="zh-CN"/>
        </w:rPr>
        <w:t>1</w:t>
      </w:r>
      <w:r>
        <w:rPr>
          <w:rFonts w:hint="eastAsia"/>
          <w:lang w:eastAsia="zh-CN"/>
        </w:rPr>
        <w:t>.1设计情况</w:t>
      </w:r>
    </w:p>
    <w:p>
      <w:pPr>
        <w:pStyle w:val="64"/>
        <w:adjustRightInd/>
        <w:spacing w:line="500" w:lineRule="exact"/>
        <w:ind w:firstLine="560" w:firstLineChars="200"/>
        <w:jc w:val="both"/>
        <w:rPr>
          <w:rFonts w:hint="eastAsia" w:ascii="宋体" w:hAnsi="宋体" w:eastAsia="宋体" w:cs="宋体"/>
          <w:color w:val="auto"/>
          <w:kern w:val="2"/>
          <w:sz w:val="28"/>
          <w:lang w:val="en-US" w:eastAsia="zh-CN"/>
        </w:rPr>
      </w:pPr>
      <w:r>
        <w:rPr>
          <w:rFonts w:hint="eastAsia" w:ascii="宋体" w:hAnsi="宋体" w:eastAsia="宋体" w:cs="宋体"/>
          <w:color w:val="auto"/>
          <w:kern w:val="2"/>
          <w:sz w:val="28"/>
          <w:lang w:val="sq-AL" w:eastAsia="zh-CN"/>
        </w:rPr>
        <w:t>矿山为从业人员配备了安全帽、防尘口罩、手套等个人劳动防护用品，并督促从业人员正确使用。</w:t>
      </w:r>
    </w:p>
    <w:p>
      <w:pPr>
        <w:pStyle w:val="6"/>
        <w:bidi w:val="0"/>
        <w:rPr>
          <w:rFonts w:hint="eastAsia"/>
          <w:lang w:eastAsia="zh-CN"/>
        </w:rPr>
      </w:pPr>
      <w:r>
        <w:rPr>
          <w:lang w:eastAsia="zh-CN"/>
        </w:rPr>
        <w:t>2.4.</w:t>
      </w:r>
      <w:r>
        <w:rPr>
          <w:rFonts w:hint="eastAsia"/>
          <w:lang w:eastAsia="zh-CN"/>
        </w:rPr>
        <w:t>1</w:t>
      </w:r>
      <w:r>
        <w:rPr>
          <w:rFonts w:hint="eastAsia"/>
          <w:lang w:val="en-US" w:eastAsia="zh-CN"/>
        </w:rPr>
        <w:t>1</w:t>
      </w:r>
      <w:r>
        <w:rPr>
          <w:rFonts w:hint="eastAsia"/>
          <w:lang w:eastAsia="zh-CN"/>
        </w:rPr>
        <w:t>.</w:t>
      </w:r>
      <w:r>
        <w:rPr>
          <w:rFonts w:hint="eastAsia"/>
          <w:lang w:val="en-US" w:eastAsia="zh-CN"/>
        </w:rPr>
        <w:t>2现状</w:t>
      </w:r>
    </w:p>
    <w:p>
      <w:pPr>
        <w:pStyle w:val="64"/>
        <w:adjustRightInd/>
        <w:spacing w:line="500" w:lineRule="exact"/>
        <w:ind w:firstLine="560" w:firstLineChars="200"/>
        <w:jc w:val="both"/>
        <w:rPr>
          <w:rFonts w:hint="eastAsia" w:ascii="宋体" w:hAnsi="宋体" w:eastAsia="宋体" w:cs="宋体"/>
          <w:color w:val="auto"/>
          <w:kern w:val="2"/>
          <w:sz w:val="28"/>
        </w:rPr>
      </w:pPr>
      <w:r>
        <w:rPr>
          <w:rFonts w:hint="eastAsia" w:ascii="宋体" w:hAnsi="宋体" w:eastAsia="宋体" w:cs="宋体"/>
          <w:color w:val="auto"/>
          <w:kern w:val="2"/>
          <w:sz w:val="28"/>
          <w:lang w:val="en-US" w:eastAsia="zh-CN"/>
        </w:rPr>
        <w:t>矿山按照</w:t>
      </w:r>
      <w:r>
        <w:rPr>
          <w:rFonts w:hint="eastAsia" w:ascii="宋体" w:hAnsi="宋体" w:eastAsia="宋体" w:cs="宋体"/>
          <w:color w:val="auto"/>
          <w:kern w:val="2"/>
          <w:sz w:val="28"/>
          <w:lang w:val="sq-AL" w:eastAsia="zh-CN"/>
        </w:rPr>
        <w:t>《个体防护装备配备规范 第4部分：非煤矿山》（GB 39800.4-2020）</w:t>
      </w:r>
      <w:r>
        <w:rPr>
          <w:rFonts w:hint="eastAsia" w:ascii="宋体" w:hAnsi="宋体" w:eastAsia="宋体" w:cs="宋体"/>
          <w:color w:val="auto"/>
          <w:kern w:val="2"/>
          <w:sz w:val="28"/>
          <w:lang w:val="en-US" w:eastAsia="zh-CN"/>
        </w:rPr>
        <w:t>的标准为作业人员配备了相应的安全防护用品（如：安全帽、防尘口罩、手套）等，并督促员工在上班期间正确佩戴</w:t>
      </w:r>
      <w:r>
        <w:rPr>
          <w:rFonts w:hint="eastAsia" w:cs="宋体"/>
          <w:color w:val="auto"/>
          <w:kern w:val="2"/>
          <w:sz w:val="28"/>
          <w:lang w:val="en-US" w:eastAsia="zh-CN"/>
        </w:rPr>
        <w:t>，矿山重要部位配备了视频监控</w:t>
      </w:r>
      <w:r>
        <w:rPr>
          <w:rFonts w:hint="eastAsia" w:ascii="宋体" w:hAnsi="宋体" w:eastAsia="宋体" w:cs="宋体"/>
          <w:color w:val="auto"/>
          <w:kern w:val="2"/>
          <w:sz w:val="28"/>
        </w:rPr>
        <w:t>。</w:t>
      </w:r>
    </w:p>
    <w:p>
      <w:pPr>
        <w:pStyle w:val="5"/>
        <w:bidi w:val="0"/>
        <w:rPr>
          <w:rFonts w:ascii="宋体" w:hAnsi="宋体"/>
          <w:color w:val="auto"/>
          <w:kern w:val="2"/>
          <w:szCs w:val="28"/>
          <w:lang w:eastAsia="zh-CN" w:bidi="ar-SA"/>
        </w:rPr>
      </w:pPr>
      <w:bookmarkStart w:id="172" w:name="_Toc502865190"/>
      <w:bookmarkStart w:id="173" w:name="_Toc467792783"/>
      <w:bookmarkStart w:id="174" w:name="_Toc21374"/>
      <w:r>
        <w:rPr>
          <w:lang w:eastAsia="zh-CN"/>
        </w:rPr>
        <w:t>2.4.1</w:t>
      </w:r>
      <w:r>
        <w:rPr>
          <w:rFonts w:hint="eastAsia"/>
          <w:lang w:val="en-US" w:eastAsia="zh-CN"/>
        </w:rPr>
        <w:t>2</w:t>
      </w:r>
      <w:r>
        <w:rPr>
          <w:lang w:eastAsia="zh-CN"/>
        </w:rPr>
        <w:t>安全标志</w:t>
      </w:r>
      <w:bookmarkEnd w:id="172"/>
      <w:bookmarkEnd w:id="173"/>
      <w:bookmarkEnd w:id="174"/>
    </w:p>
    <w:p>
      <w:pPr>
        <w:pStyle w:val="6"/>
        <w:bidi w:val="0"/>
        <w:rPr>
          <w:rFonts w:hint="eastAsia" w:ascii="宋体" w:hAnsi="宋体" w:eastAsia="宋体"/>
          <w:color w:val="auto"/>
          <w:kern w:val="2"/>
          <w:lang w:eastAsia="zh-CN" w:bidi="ar-SA"/>
        </w:rPr>
      </w:pPr>
      <w:r>
        <w:rPr>
          <w:lang w:eastAsia="zh-CN"/>
        </w:rPr>
        <w:t>2.4.1</w:t>
      </w:r>
      <w:r>
        <w:rPr>
          <w:rFonts w:hint="eastAsia"/>
          <w:lang w:val="en-US" w:eastAsia="zh-CN"/>
        </w:rPr>
        <w:t>2</w:t>
      </w:r>
      <w:r>
        <w:rPr>
          <w:rFonts w:hint="eastAsia"/>
          <w:lang w:eastAsia="zh-CN"/>
        </w:rPr>
        <w:t>.1设计情况</w:t>
      </w:r>
    </w:p>
    <w:p>
      <w:pPr>
        <w:wordWrap/>
        <w:topLinePunct w:val="0"/>
        <w:bidi w:val="0"/>
        <w:spacing w:line="500" w:lineRule="exact"/>
        <w:ind w:firstLine="560" w:firstLineChars="200"/>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矿山主要危险区域如露天采场、进场路口、变压器、停采区、矿山机械危险部位（例如：传动、转动部位、带电裸露部位等）、矿山边界处及矿区公路等设置的安全警示标志牌。</w:t>
      </w:r>
    </w:p>
    <w:p>
      <w:pPr>
        <w:pStyle w:val="6"/>
        <w:bidi w:val="0"/>
        <w:rPr>
          <w:rFonts w:ascii="宋体" w:hAnsi="宋体" w:eastAsia="宋体" w:cs="宋体"/>
          <w:snapToGrid w:val="0"/>
          <w:color w:val="auto"/>
          <w:lang w:eastAsia="zh-CN" w:bidi="ar-SA"/>
        </w:rPr>
      </w:pPr>
      <w:r>
        <w:rPr>
          <w:lang w:eastAsia="zh-CN"/>
        </w:rPr>
        <w:t>2.4.1</w:t>
      </w:r>
      <w:r>
        <w:rPr>
          <w:rFonts w:hint="eastAsia"/>
          <w:lang w:val="en-US" w:eastAsia="zh-CN"/>
        </w:rPr>
        <w:t>2</w:t>
      </w:r>
      <w:r>
        <w:rPr>
          <w:rFonts w:hint="eastAsia"/>
          <w:lang w:eastAsia="zh-CN"/>
        </w:rPr>
        <w:t>.2现状</w:t>
      </w:r>
    </w:p>
    <w:p>
      <w:pPr>
        <w:pStyle w:val="64"/>
        <w:adjustRightInd/>
        <w:spacing w:line="500" w:lineRule="exact"/>
        <w:ind w:firstLine="560" w:firstLineChars="200"/>
        <w:jc w:val="both"/>
        <w:rPr>
          <w:rFonts w:hint="eastAsia" w:ascii="宋体" w:hAnsi="宋体" w:eastAsia="宋体" w:cs="宋体"/>
          <w:color w:val="auto"/>
          <w:kern w:val="2"/>
          <w:sz w:val="28"/>
        </w:rPr>
      </w:pPr>
      <w:r>
        <w:rPr>
          <w:rFonts w:hint="eastAsia" w:ascii="宋体" w:hAnsi="宋体" w:eastAsia="宋体" w:cs="宋体"/>
          <w:color w:val="auto"/>
          <w:kern w:val="2"/>
          <w:sz w:val="28"/>
        </w:rPr>
        <w:t>矿山按《矿山安全标志》（GB14161-2008）和《安全标志及其使用导则》（GB2894-2008）等文件的要求，在采场入口设置了</w:t>
      </w:r>
      <w:r>
        <w:rPr>
          <w:rFonts w:hint="eastAsia" w:ascii="宋体" w:hAnsi="宋体" w:eastAsia="宋体" w:cs="宋体"/>
          <w:color w:val="auto"/>
          <w:kern w:val="2"/>
          <w:sz w:val="28"/>
          <w:lang w:eastAsia="zh-CN"/>
        </w:rPr>
        <w:t>“</w:t>
      </w:r>
      <w:r>
        <w:rPr>
          <w:rFonts w:hint="eastAsia" w:ascii="宋体" w:hAnsi="宋体" w:eastAsia="宋体" w:cs="宋体"/>
          <w:color w:val="auto"/>
          <w:kern w:val="2"/>
          <w:sz w:val="28"/>
          <w:lang w:val="en-US" w:eastAsia="zh-CN"/>
        </w:rPr>
        <w:t>车辆进入厂区，注意安全行驶</w:t>
      </w:r>
      <w:r>
        <w:rPr>
          <w:rFonts w:hint="eastAsia" w:ascii="宋体" w:hAnsi="宋体" w:eastAsia="宋体" w:cs="宋体"/>
          <w:color w:val="auto"/>
          <w:kern w:val="2"/>
          <w:sz w:val="28"/>
          <w:lang w:eastAsia="zh-CN"/>
        </w:rPr>
        <w:t>”、</w:t>
      </w:r>
      <w:r>
        <w:rPr>
          <w:rFonts w:hint="eastAsia" w:ascii="宋体" w:hAnsi="宋体" w:eastAsia="宋体" w:cs="宋体"/>
          <w:color w:val="auto"/>
          <w:kern w:val="2"/>
          <w:sz w:val="28"/>
        </w:rPr>
        <w:t>“</w:t>
      </w:r>
      <w:r>
        <w:rPr>
          <w:rFonts w:hint="eastAsia" w:ascii="宋体" w:hAnsi="宋体" w:eastAsia="宋体" w:cs="宋体"/>
          <w:color w:val="auto"/>
          <w:kern w:val="2"/>
          <w:sz w:val="28"/>
          <w:lang w:val="en-US" w:eastAsia="zh-CN"/>
        </w:rPr>
        <w:t>入场须知</w:t>
      </w:r>
      <w:r>
        <w:rPr>
          <w:rFonts w:hint="eastAsia" w:ascii="宋体" w:hAnsi="宋体" w:eastAsia="宋体" w:cs="宋体"/>
          <w:color w:val="auto"/>
          <w:kern w:val="2"/>
          <w:sz w:val="28"/>
        </w:rPr>
        <w:t>”、“</w:t>
      </w:r>
      <w:r>
        <w:rPr>
          <w:rFonts w:hint="eastAsia" w:ascii="宋体" w:hAnsi="宋体" w:eastAsia="宋体" w:cs="宋体"/>
          <w:color w:val="auto"/>
          <w:kern w:val="2"/>
          <w:sz w:val="28"/>
          <w:lang w:val="en-US" w:eastAsia="zh-CN"/>
        </w:rPr>
        <w:t>进入施工现场，</w:t>
      </w:r>
      <w:r>
        <w:rPr>
          <w:rFonts w:hint="eastAsia" w:ascii="宋体" w:hAnsi="宋体" w:eastAsia="宋体" w:cs="宋体"/>
          <w:color w:val="auto"/>
          <w:kern w:val="2"/>
          <w:sz w:val="28"/>
        </w:rPr>
        <w:t>必须戴安全帽”，</w:t>
      </w:r>
      <w:r>
        <w:rPr>
          <w:rFonts w:hint="eastAsia" w:ascii="宋体" w:hAnsi="宋体" w:eastAsia="宋体" w:cs="宋体"/>
          <w:color w:val="auto"/>
          <w:kern w:val="2"/>
          <w:sz w:val="28"/>
          <w:lang w:val="en-US" w:eastAsia="zh-CN"/>
        </w:rPr>
        <w:t>在沉砂池一侧</w:t>
      </w:r>
      <w:r>
        <w:rPr>
          <w:rFonts w:hint="eastAsia" w:ascii="宋体" w:hAnsi="宋体" w:eastAsia="宋体" w:cs="宋体"/>
          <w:color w:val="auto"/>
          <w:kern w:val="2"/>
          <w:sz w:val="28"/>
        </w:rPr>
        <w:t>设置了</w:t>
      </w:r>
      <w:r>
        <w:rPr>
          <w:rFonts w:hint="eastAsia" w:ascii="宋体" w:hAnsi="宋体" w:eastAsia="宋体" w:cs="宋体"/>
          <w:color w:val="auto"/>
          <w:kern w:val="2"/>
          <w:sz w:val="28"/>
          <w:lang w:eastAsia="zh-CN"/>
        </w:rPr>
        <w:t>“</w:t>
      </w:r>
      <w:r>
        <w:rPr>
          <w:rFonts w:hint="eastAsia" w:ascii="宋体" w:hAnsi="宋体" w:eastAsia="宋体" w:cs="宋体"/>
          <w:color w:val="auto"/>
          <w:kern w:val="2"/>
          <w:sz w:val="28"/>
          <w:lang w:val="en-US" w:eastAsia="zh-CN"/>
        </w:rPr>
        <w:t>当心淤泥</w:t>
      </w:r>
      <w:r>
        <w:rPr>
          <w:rFonts w:hint="eastAsia" w:ascii="宋体" w:hAnsi="宋体" w:eastAsia="宋体" w:cs="宋体"/>
          <w:color w:val="auto"/>
          <w:kern w:val="2"/>
          <w:sz w:val="28"/>
          <w:lang w:eastAsia="zh-CN"/>
        </w:rPr>
        <w:t>”</w:t>
      </w:r>
      <w:r>
        <w:rPr>
          <w:rFonts w:hint="eastAsia" w:ascii="宋体" w:hAnsi="宋体" w:eastAsia="宋体" w:cs="宋体"/>
          <w:color w:val="auto"/>
          <w:kern w:val="2"/>
          <w:sz w:val="28"/>
        </w:rPr>
        <w:t>、“车辆慢行”，采场边坡设置有“边坡危险，请勿靠近”、注意安全”，变压器等处设置“</w:t>
      </w:r>
      <w:r>
        <w:rPr>
          <w:rFonts w:hint="eastAsia" w:ascii="宋体" w:hAnsi="宋体" w:eastAsia="宋体" w:cs="宋体"/>
          <w:color w:val="auto"/>
          <w:kern w:val="2"/>
          <w:sz w:val="28"/>
          <w:lang w:val="en-US" w:eastAsia="zh-CN"/>
        </w:rPr>
        <w:t>高压</w:t>
      </w:r>
      <w:r>
        <w:rPr>
          <w:rFonts w:hint="eastAsia" w:ascii="宋体" w:hAnsi="宋体" w:eastAsia="宋体" w:cs="宋体"/>
          <w:color w:val="auto"/>
          <w:kern w:val="2"/>
          <w:sz w:val="28"/>
        </w:rPr>
        <w:t>危险</w:t>
      </w:r>
      <w:r>
        <w:rPr>
          <w:rFonts w:hint="eastAsia" w:ascii="宋体" w:hAnsi="宋体" w:eastAsia="宋体" w:cs="宋体"/>
          <w:color w:val="auto"/>
          <w:kern w:val="2"/>
          <w:sz w:val="28"/>
          <w:lang w:eastAsia="zh-CN"/>
        </w:rPr>
        <w:t>，</w:t>
      </w:r>
      <w:r>
        <w:rPr>
          <w:rFonts w:hint="eastAsia" w:ascii="宋体" w:hAnsi="宋体" w:eastAsia="宋体" w:cs="宋体"/>
          <w:color w:val="auto"/>
          <w:kern w:val="2"/>
          <w:sz w:val="28"/>
          <w:lang w:val="en-US" w:eastAsia="zh-CN"/>
        </w:rPr>
        <w:t>请勿靠近</w:t>
      </w:r>
      <w:r>
        <w:rPr>
          <w:rFonts w:hint="eastAsia" w:ascii="宋体" w:hAnsi="宋体" w:eastAsia="宋体" w:cs="宋体"/>
          <w:color w:val="auto"/>
          <w:kern w:val="2"/>
          <w:sz w:val="28"/>
        </w:rPr>
        <w:t>”等安全警示标志，在矿区边界设置了警戒</w:t>
      </w:r>
      <w:r>
        <w:rPr>
          <w:rFonts w:hint="eastAsia" w:ascii="宋体" w:hAnsi="宋体" w:eastAsia="宋体" w:cs="宋体"/>
          <w:color w:val="auto"/>
          <w:kern w:val="2"/>
          <w:sz w:val="28"/>
          <w:lang w:val="en-US" w:eastAsia="zh-CN"/>
        </w:rPr>
        <w:t>彩</w:t>
      </w:r>
      <w:r>
        <w:rPr>
          <w:rFonts w:hint="eastAsia" w:ascii="宋体" w:hAnsi="宋体" w:eastAsia="宋体" w:cs="宋体"/>
          <w:color w:val="auto"/>
          <w:kern w:val="2"/>
          <w:sz w:val="28"/>
        </w:rPr>
        <w:t>带。</w:t>
      </w:r>
    </w:p>
    <w:p>
      <w:pPr>
        <w:pStyle w:val="5"/>
        <w:bidi w:val="0"/>
        <w:rPr>
          <w:rFonts w:hint="eastAsia"/>
          <w:lang w:eastAsia="zh-CN"/>
        </w:rPr>
      </w:pPr>
      <w:bookmarkStart w:id="175" w:name="_Toc24158"/>
      <w:r>
        <w:rPr>
          <w:lang w:eastAsia="zh-CN"/>
        </w:rPr>
        <w:t>2.4.1</w:t>
      </w:r>
      <w:r>
        <w:rPr>
          <w:rFonts w:hint="eastAsia"/>
          <w:lang w:val="en-US" w:eastAsia="zh-CN"/>
        </w:rPr>
        <w:t>3</w:t>
      </w:r>
      <w:r>
        <w:rPr>
          <w:rFonts w:hint="eastAsia"/>
          <w:lang w:eastAsia="zh-CN"/>
        </w:rPr>
        <w:t>排土场</w:t>
      </w:r>
      <w:bookmarkEnd w:id="175"/>
    </w:p>
    <w:p>
      <w:pPr>
        <w:pStyle w:val="6"/>
        <w:bidi w:val="0"/>
        <w:rPr>
          <w:rFonts w:hint="eastAsia"/>
          <w:lang w:eastAsia="zh-CN"/>
        </w:rPr>
      </w:pPr>
      <w:r>
        <w:rPr>
          <w:lang w:eastAsia="zh-CN"/>
        </w:rPr>
        <w:t>2.4.1</w:t>
      </w:r>
      <w:r>
        <w:rPr>
          <w:rFonts w:hint="eastAsia"/>
          <w:lang w:val="en-US" w:eastAsia="zh-CN"/>
        </w:rPr>
        <w:t>3</w:t>
      </w:r>
      <w:r>
        <w:rPr>
          <w:rFonts w:hint="eastAsia"/>
          <w:lang w:eastAsia="zh-CN"/>
        </w:rPr>
        <w:t>.1设计情况</w:t>
      </w:r>
    </w:p>
    <w:p>
      <w:pPr>
        <w:spacing w:line="500" w:lineRule="exact"/>
        <w:ind w:firstLine="560" w:firstLineChars="200"/>
        <w:rPr>
          <w:rFonts w:hint="eastAsia" w:ascii="宋体" w:hAnsi="宋体" w:cs="宋体"/>
          <w:color w:val="000000"/>
          <w:sz w:val="28"/>
          <w:szCs w:val="28"/>
        </w:rPr>
      </w:pPr>
      <w:bookmarkStart w:id="176" w:name="_Toc269474223"/>
      <w:r>
        <w:rPr>
          <w:rFonts w:hint="eastAsia" w:ascii="宋体" w:hAnsi="宋体" w:cs="宋体"/>
          <w:color w:val="000000"/>
          <w:sz w:val="28"/>
          <w:szCs w:val="28"/>
        </w:rPr>
        <w:t>矿山剥离量为1.18万m</w:t>
      </w:r>
      <w:r>
        <w:rPr>
          <w:rFonts w:hint="eastAsia" w:ascii="宋体" w:hAnsi="宋体" w:cs="宋体"/>
          <w:color w:val="000000"/>
          <w:sz w:val="28"/>
          <w:szCs w:val="28"/>
          <w:vertAlign w:val="superscript"/>
        </w:rPr>
        <w:t>3</w:t>
      </w:r>
      <w:r>
        <w:rPr>
          <w:rFonts w:hint="eastAsia" w:ascii="宋体" w:hAnsi="宋体" w:cs="宋体"/>
          <w:color w:val="000000"/>
          <w:sz w:val="28"/>
          <w:szCs w:val="28"/>
        </w:rPr>
        <w:t>，矿山采矿产出的淤泥量为14.15万m</w:t>
      </w:r>
      <w:r>
        <w:rPr>
          <w:rFonts w:hint="eastAsia" w:ascii="宋体" w:hAnsi="宋体" w:cs="宋体"/>
          <w:color w:val="000000"/>
          <w:sz w:val="28"/>
          <w:szCs w:val="28"/>
          <w:vertAlign w:val="superscript"/>
        </w:rPr>
        <w:t>3</w:t>
      </w:r>
      <w:r>
        <w:rPr>
          <w:rFonts w:hint="eastAsia" w:ascii="宋体" w:hAnsi="宋体" w:cs="宋体"/>
          <w:color w:val="000000"/>
          <w:sz w:val="28"/>
          <w:szCs w:val="28"/>
        </w:rPr>
        <w:t xml:space="preserve"> (原矿量30%)，淤泥量、废土量合计约为15.33万m</w:t>
      </w:r>
      <w:r>
        <w:rPr>
          <w:rFonts w:hint="eastAsia" w:ascii="宋体" w:hAnsi="宋体" w:cs="宋体"/>
          <w:color w:val="000000"/>
          <w:sz w:val="28"/>
          <w:szCs w:val="28"/>
          <w:vertAlign w:val="superscript"/>
        </w:rPr>
        <w:t>3</w:t>
      </w:r>
      <w:r>
        <w:rPr>
          <w:rFonts w:hint="eastAsia" w:ascii="宋体" w:hAnsi="宋体" w:cs="宋体"/>
          <w:color w:val="000000"/>
          <w:sz w:val="28"/>
          <w:szCs w:val="28"/>
        </w:rPr>
        <w:t>。按服务年限19.9年计算，矿山每年产出废土及淤泥量约为0.77万m</w:t>
      </w:r>
      <w:r>
        <w:rPr>
          <w:rFonts w:hint="eastAsia" w:ascii="宋体" w:hAnsi="宋体" w:cs="宋体"/>
          <w:color w:val="000000"/>
          <w:sz w:val="28"/>
          <w:szCs w:val="28"/>
          <w:vertAlign w:val="superscript"/>
        </w:rPr>
        <w:t>3</w:t>
      </w:r>
      <w:r>
        <w:rPr>
          <w:rFonts w:hint="eastAsia" w:ascii="宋体" w:hAnsi="宋体" w:cs="宋体"/>
          <w:color w:val="000000"/>
          <w:sz w:val="28"/>
          <w:szCs w:val="28"/>
        </w:rPr>
        <w:t>。</w:t>
      </w:r>
    </w:p>
    <w:p>
      <w:pPr>
        <w:spacing w:line="500" w:lineRule="exact"/>
        <w:ind w:firstLine="560" w:firstLineChars="200"/>
        <w:rPr>
          <w:rFonts w:hint="eastAsia" w:ascii="宋体" w:hAnsi="宋体" w:eastAsia="宋体" w:cs="宋体"/>
          <w:b w:val="0"/>
          <w:bCs w:val="0"/>
          <w:color w:val="auto"/>
          <w:kern w:val="2"/>
          <w:sz w:val="28"/>
          <w:szCs w:val="28"/>
          <w:lang w:val="en-US" w:eastAsia="zh-CN" w:bidi="ar-SA"/>
        </w:rPr>
      </w:pPr>
      <w:r>
        <w:rPr>
          <w:rFonts w:hint="eastAsia" w:ascii="宋体" w:hAnsi="宋体" w:cs="宋体"/>
          <w:color w:val="000000"/>
          <w:sz w:val="28"/>
          <w:szCs w:val="28"/>
        </w:rPr>
        <w:t>矿山不需要设置排土场</w:t>
      </w:r>
      <w:bookmarkEnd w:id="176"/>
      <w:r>
        <w:rPr>
          <w:rFonts w:hint="eastAsia" w:ascii="宋体" w:hAnsi="宋体" w:cs="宋体"/>
          <w:color w:val="000000"/>
          <w:sz w:val="28"/>
          <w:szCs w:val="28"/>
          <w:lang w:eastAsia="zh-CN"/>
        </w:rPr>
        <w:t>。</w:t>
      </w:r>
    </w:p>
    <w:p>
      <w:pPr>
        <w:pStyle w:val="6"/>
        <w:bidi w:val="0"/>
        <w:rPr>
          <w:rFonts w:hint="eastAsia"/>
          <w:lang w:eastAsia="zh-CN"/>
        </w:rPr>
      </w:pPr>
      <w:r>
        <w:rPr>
          <w:lang w:val="en-US" w:eastAsia="zh-CN"/>
        </w:rPr>
        <w:t>2.4.1</w:t>
      </w:r>
      <w:r>
        <w:rPr>
          <w:rFonts w:hint="eastAsia"/>
          <w:lang w:val="en-US" w:eastAsia="zh-CN"/>
        </w:rPr>
        <w:t>3.2现状</w:t>
      </w:r>
    </w:p>
    <w:p>
      <w:pPr>
        <w:wordWrap/>
        <w:topLinePunct w:val="0"/>
        <w:bidi w:val="0"/>
        <w:spacing w:line="500" w:lineRule="exact"/>
        <w:ind w:firstLine="560" w:firstLineChars="200"/>
        <w:textAlignment w:val="auto"/>
        <w:rPr>
          <w:rFonts w:hint="default" w:ascii="宋体" w:hAnsi="宋体" w:eastAsia="宋体" w:cs="宋体"/>
          <w:b w:val="0"/>
          <w:bCs w:val="0"/>
          <w:color w:val="auto"/>
          <w:kern w:val="2"/>
          <w:sz w:val="28"/>
          <w:szCs w:val="28"/>
          <w:lang w:val="en-US" w:eastAsia="zh-CN" w:bidi="ar-SA"/>
        </w:rPr>
      </w:pPr>
      <w:bookmarkStart w:id="177" w:name="_Toc502865191"/>
      <w:bookmarkStart w:id="178" w:name="_Toc467792784"/>
      <w:r>
        <w:rPr>
          <w:rFonts w:hint="eastAsia" w:ascii="宋体" w:hAnsi="宋体" w:eastAsia="宋体" w:cs="宋体"/>
          <w:b w:val="0"/>
          <w:bCs w:val="0"/>
          <w:color w:val="auto"/>
          <w:kern w:val="2"/>
          <w:sz w:val="28"/>
          <w:szCs w:val="28"/>
          <w:lang w:val="en-US" w:eastAsia="zh-CN" w:bidi="ar-SA"/>
        </w:rPr>
        <w:t>根据现场检查，未设置排土场，目前生产过程中产生的废土很少，主要用于</w:t>
      </w:r>
      <w:r>
        <w:rPr>
          <w:rFonts w:hint="default" w:ascii="宋体" w:hAnsi="宋体" w:eastAsia="宋体" w:cs="宋体"/>
          <w:b w:val="0"/>
          <w:bCs w:val="0"/>
          <w:color w:val="auto"/>
          <w:kern w:val="2"/>
          <w:sz w:val="28"/>
          <w:szCs w:val="28"/>
          <w:lang w:val="en-US" w:eastAsia="zh-CN" w:bidi="ar-SA"/>
        </w:rPr>
        <w:t>矿山垫路</w:t>
      </w:r>
      <w:r>
        <w:rPr>
          <w:rFonts w:hint="eastAsia" w:ascii="宋体" w:hAnsi="宋体" w:eastAsia="宋体" w:cs="宋体"/>
          <w:b w:val="0"/>
          <w:bCs w:val="0"/>
          <w:color w:val="auto"/>
          <w:kern w:val="2"/>
          <w:sz w:val="28"/>
          <w:szCs w:val="28"/>
          <w:lang w:val="en-US" w:eastAsia="zh-CN" w:bidi="ar-SA"/>
        </w:rPr>
        <w:t>。</w:t>
      </w:r>
    </w:p>
    <w:p>
      <w:pPr>
        <w:pStyle w:val="5"/>
        <w:bidi w:val="0"/>
        <w:rPr>
          <w:rFonts w:ascii="宋体" w:hAnsi="宋体"/>
          <w:color w:val="auto"/>
          <w:kern w:val="2"/>
          <w:szCs w:val="28"/>
          <w:lang w:eastAsia="zh-CN" w:bidi="ar-SA"/>
        </w:rPr>
      </w:pPr>
      <w:bookmarkStart w:id="179" w:name="_Toc25461"/>
      <w:r>
        <w:rPr>
          <w:lang w:eastAsia="zh-CN"/>
        </w:rPr>
        <w:t>2.4.1</w:t>
      </w:r>
      <w:r>
        <w:rPr>
          <w:rFonts w:hint="eastAsia"/>
          <w:lang w:val="en-US" w:eastAsia="zh-CN"/>
        </w:rPr>
        <w:t>4</w:t>
      </w:r>
      <w:r>
        <w:rPr>
          <w:lang w:eastAsia="zh-CN"/>
        </w:rPr>
        <w:t>安全管理</w:t>
      </w:r>
      <w:bookmarkEnd w:id="177"/>
      <w:bookmarkEnd w:id="178"/>
      <w:bookmarkEnd w:id="179"/>
    </w:p>
    <w:p>
      <w:pPr>
        <w:pStyle w:val="6"/>
        <w:bidi w:val="0"/>
        <w:rPr>
          <w:rFonts w:hint="eastAsia"/>
          <w:lang w:eastAsia="zh-CN"/>
        </w:rPr>
      </w:pPr>
      <w:bookmarkStart w:id="180" w:name="_Toc329783149"/>
      <w:r>
        <w:rPr>
          <w:lang w:eastAsia="zh-CN"/>
        </w:rPr>
        <w:t>2.4.1</w:t>
      </w:r>
      <w:r>
        <w:rPr>
          <w:rFonts w:hint="eastAsia"/>
          <w:lang w:val="en-US" w:eastAsia="zh-CN"/>
        </w:rPr>
        <w:t>4</w:t>
      </w:r>
      <w:r>
        <w:rPr>
          <w:rFonts w:hint="eastAsia"/>
          <w:lang w:eastAsia="zh-CN"/>
        </w:rPr>
        <w:t>.1设计情况</w:t>
      </w:r>
    </w:p>
    <w:p>
      <w:pPr>
        <w:wordWrap/>
        <w:topLinePunct w:val="0"/>
        <w:bidi w:val="0"/>
        <w:spacing w:line="500" w:lineRule="exact"/>
        <w:ind w:firstLine="560" w:firstLineChars="200"/>
        <w:textAlignment w:val="auto"/>
        <w:outlineLvl w:val="9"/>
        <w:rPr>
          <w:rFonts w:hint="eastAsia" w:ascii="宋体" w:hAnsi="宋体" w:eastAsia="宋体" w:cs="宋体"/>
          <w:b w:val="0"/>
          <w:bCs w:val="0"/>
          <w:color w:val="auto"/>
          <w:kern w:val="2"/>
          <w:sz w:val="28"/>
          <w:szCs w:val="28"/>
          <w:lang w:val="en-US" w:eastAsia="zh-CN" w:bidi="ar-SA"/>
        </w:rPr>
      </w:pPr>
      <w:r>
        <w:rPr>
          <w:rFonts w:hint="eastAsia" w:ascii="宋体" w:hAnsi="宋体" w:cs="宋体"/>
          <w:b w:val="0"/>
          <w:bCs w:val="0"/>
          <w:color w:val="auto"/>
          <w:kern w:val="2"/>
          <w:sz w:val="28"/>
          <w:szCs w:val="28"/>
          <w:lang w:val="en-US" w:eastAsia="zh-CN" w:bidi="ar-SA"/>
        </w:rPr>
        <w:t>1.</w:t>
      </w:r>
      <w:r>
        <w:rPr>
          <w:rFonts w:hint="eastAsia" w:ascii="宋体" w:hAnsi="宋体" w:eastAsia="宋体" w:cs="宋体"/>
          <w:b w:val="0"/>
          <w:bCs w:val="0"/>
          <w:color w:val="auto"/>
          <w:kern w:val="2"/>
          <w:sz w:val="28"/>
          <w:szCs w:val="28"/>
          <w:lang w:val="en-US" w:eastAsia="zh-CN" w:bidi="ar-SA"/>
        </w:rPr>
        <w:t>企业的安全机构设置</w:t>
      </w:r>
    </w:p>
    <w:p>
      <w:pPr>
        <w:wordWrap/>
        <w:topLinePunct w:val="0"/>
        <w:bidi w:val="0"/>
        <w:spacing w:line="500" w:lineRule="exact"/>
        <w:ind w:firstLine="560" w:firstLineChars="200"/>
        <w:textAlignment w:val="auto"/>
        <w:outlineLvl w:val="9"/>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企业需设置安全管理机构，安全部配备安全生产管理人员不少于2人，矿山车间安全生产管理机构配备安全生产管理人员的数量要能满足跟班检查的需要，根据需要再配备专兼职的安全生产管理人员。</w:t>
      </w:r>
    </w:p>
    <w:p>
      <w:pPr>
        <w:wordWrap/>
        <w:topLinePunct w:val="0"/>
        <w:bidi w:val="0"/>
        <w:spacing w:line="500" w:lineRule="exact"/>
        <w:ind w:firstLine="560" w:firstLineChars="200"/>
        <w:textAlignment w:val="auto"/>
        <w:outlineLvl w:val="9"/>
        <w:rPr>
          <w:rFonts w:hint="eastAsia" w:ascii="宋体" w:hAnsi="宋体" w:eastAsia="宋体" w:cs="宋体"/>
          <w:b w:val="0"/>
          <w:bCs w:val="0"/>
          <w:color w:val="auto"/>
          <w:kern w:val="2"/>
          <w:sz w:val="28"/>
          <w:szCs w:val="28"/>
          <w:lang w:val="en-US" w:eastAsia="zh-CN" w:bidi="ar-SA"/>
        </w:rPr>
      </w:pPr>
      <w:r>
        <w:rPr>
          <w:rFonts w:hint="eastAsia" w:ascii="宋体" w:hAnsi="宋体" w:cs="宋体"/>
          <w:b w:val="0"/>
          <w:bCs w:val="0"/>
          <w:color w:val="auto"/>
          <w:kern w:val="2"/>
          <w:sz w:val="28"/>
          <w:szCs w:val="28"/>
          <w:lang w:val="en-US" w:eastAsia="zh-CN" w:bidi="ar-SA"/>
        </w:rPr>
        <w:t>2.</w:t>
      </w:r>
      <w:r>
        <w:rPr>
          <w:rFonts w:hint="eastAsia" w:ascii="宋体" w:hAnsi="宋体" w:eastAsia="宋体" w:cs="宋体"/>
          <w:b w:val="0"/>
          <w:bCs w:val="0"/>
          <w:color w:val="auto"/>
          <w:kern w:val="2"/>
          <w:sz w:val="28"/>
          <w:szCs w:val="28"/>
          <w:lang w:val="en-US" w:eastAsia="zh-CN" w:bidi="ar-SA"/>
        </w:rPr>
        <w:t>安全教育的任务和意义</w:t>
      </w:r>
    </w:p>
    <w:p>
      <w:pPr>
        <w:wordWrap/>
        <w:topLinePunct w:val="0"/>
        <w:bidi w:val="0"/>
        <w:spacing w:line="500" w:lineRule="exact"/>
        <w:ind w:firstLine="560" w:firstLineChars="200"/>
        <w:textAlignment w:val="auto"/>
        <w:outlineLvl w:val="9"/>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安全教育的任务是提高职工队伍的安全素质，提高广大职工对安全生产重要性的认识，增强安全生产责任感，提高广大职工遵守安全规章制度和劳动纪律的自觉性，增强对安全生产的法制观念，提高广大职工的安全技术知识水平，熟练掌握操作安全技术要求和处理事故的能力。</w:t>
      </w:r>
    </w:p>
    <w:p>
      <w:pPr>
        <w:pStyle w:val="6"/>
        <w:bidi w:val="0"/>
        <w:rPr>
          <w:rFonts w:hint="eastAsia"/>
          <w:lang w:eastAsia="zh-CN"/>
        </w:rPr>
      </w:pPr>
      <w:r>
        <w:rPr>
          <w:lang w:eastAsia="zh-CN"/>
        </w:rPr>
        <w:t>2.4.1</w:t>
      </w:r>
      <w:r>
        <w:rPr>
          <w:rFonts w:hint="eastAsia"/>
          <w:lang w:val="en-US" w:eastAsia="zh-CN"/>
        </w:rPr>
        <w:t>4</w:t>
      </w:r>
      <w:r>
        <w:rPr>
          <w:rFonts w:hint="eastAsia"/>
          <w:lang w:eastAsia="zh-CN"/>
        </w:rPr>
        <w:t>.2安全管理现状</w:t>
      </w:r>
    </w:p>
    <w:p>
      <w:pPr>
        <w:spacing w:line="500" w:lineRule="exact"/>
        <w:ind w:firstLine="560" w:firstLineChars="200"/>
        <w:rPr>
          <w:rFonts w:hint="eastAsia" w:ascii="宋体" w:hAnsi="宋体" w:eastAsia="宋体" w:cs="宋体"/>
          <w:b/>
          <w:bCs/>
          <w:sz w:val="28"/>
          <w:szCs w:val="24"/>
          <w:lang w:val="en-US" w:eastAsia="zh-CN"/>
        </w:rPr>
      </w:pPr>
      <w:r>
        <w:rPr>
          <w:rFonts w:hint="eastAsia" w:ascii="宋体" w:hAnsi="宋体" w:eastAsia="宋体" w:cs="宋体"/>
          <w:b/>
          <w:bCs/>
          <w:sz w:val="28"/>
          <w:szCs w:val="24"/>
          <w:lang w:val="en-US" w:eastAsia="zh-CN"/>
        </w:rPr>
        <w:t>1.安全生产管理组织机构</w:t>
      </w:r>
    </w:p>
    <w:p>
      <w:pPr>
        <w:spacing w:line="500" w:lineRule="exact"/>
        <w:ind w:firstLine="560" w:firstLineChars="200"/>
        <w:rPr>
          <w:rFonts w:hint="eastAsia" w:ascii="宋体" w:hAnsi="宋体" w:eastAsia="宋体" w:cs="宋体"/>
          <w:sz w:val="28"/>
          <w:szCs w:val="24"/>
        </w:rPr>
      </w:pPr>
      <w:r>
        <w:rPr>
          <w:rFonts w:hint="eastAsia" w:ascii="宋体" w:hAnsi="宋体" w:eastAsia="宋体" w:cs="宋体"/>
          <w:sz w:val="28"/>
          <w:szCs w:val="24"/>
          <w:lang w:eastAsia="zh-CN"/>
        </w:rPr>
        <w:t>牟定共和西山寺砂场</w:t>
      </w:r>
      <w:r>
        <w:rPr>
          <w:rFonts w:hint="eastAsia" w:ascii="宋体" w:hAnsi="宋体" w:eastAsia="宋体" w:cs="宋体"/>
          <w:sz w:val="28"/>
          <w:szCs w:val="24"/>
        </w:rPr>
        <w:t>成立了矿山安全生产管理机构和</w:t>
      </w:r>
      <w:r>
        <w:rPr>
          <w:rFonts w:hint="eastAsia" w:ascii="宋体" w:hAnsi="宋体" w:eastAsia="宋体" w:cs="宋体"/>
          <w:color w:val="000000"/>
          <w:sz w:val="28"/>
          <w:szCs w:val="28"/>
        </w:rPr>
        <w:t>安全生产工作领导小组</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lang w:val="en-US" w:eastAsia="zh-CN"/>
        </w:rPr>
        <w:t>安全管理机构下设采矿组、破碎组合后勤组</w:t>
      </w:r>
      <w:r>
        <w:rPr>
          <w:rFonts w:hint="eastAsia" w:ascii="宋体" w:hAnsi="宋体" w:eastAsia="宋体" w:cs="宋体"/>
          <w:sz w:val="28"/>
          <w:szCs w:val="28"/>
        </w:rPr>
        <w:t>。采矿、生产等</w:t>
      </w:r>
      <w:r>
        <w:rPr>
          <w:rFonts w:hint="eastAsia" w:ascii="宋体" w:hAnsi="宋体" w:eastAsia="宋体" w:cs="宋体"/>
          <w:spacing w:val="6"/>
          <w:sz w:val="28"/>
          <w:szCs w:val="28"/>
        </w:rPr>
        <w:t>每天</w:t>
      </w:r>
      <w:r>
        <w:rPr>
          <w:rFonts w:hint="eastAsia" w:ascii="宋体" w:hAnsi="宋体" w:eastAsia="宋体" w:cs="宋体"/>
          <w:sz w:val="28"/>
          <w:szCs w:val="28"/>
        </w:rPr>
        <w:t>工作</w:t>
      </w:r>
      <w:r>
        <w:rPr>
          <w:rFonts w:hint="eastAsia" w:ascii="宋体" w:hAnsi="宋体" w:eastAsia="宋体" w:cs="宋体"/>
          <w:spacing w:val="6"/>
          <w:sz w:val="28"/>
          <w:szCs w:val="28"/>
        </w:rPr>
        <w:t>1班，每班8小时</w:t>
      </w:r>
      <w:r>
        <w:rPr>
          <w:rFonts w:hint="eastAsia" w:ascii="宋体" w:hAnsi="宋体" w:eastAsia="宋体" w:cs="宋体"/>
          <w:sz w:val="28"/>
          <w:szCs w:val="28"/>
        </w:rPr>
        <w:t>，年工作日300天。因矿山停产时间较久，企业从业人员流动性较大，当前在职人数</w:t>
      </w:r>
      <w:r>
        <w:rPr>
          <w:rFonts w:hint="eastAsia" w:ascii="宋体" w:hAnsi="宋体" w:eastAsia="宋体" w:cs="宋体"/>
          <w:sz w:val="28"/>
          <w:szCs w:val="28"/>
          <w:lang w:val="en-US" w:eastAsia="zh-CN"/>
        </w:rPr>
        <w:t>5</w:t>
      </w:r>
      <w:r>
        <w:rPr>
          <w:rFonts w:hint="eastAsia" w:ascii="宋体" w:hAnsi="宋体" w:eastAsia="宋体" w:cs="宋体"/>
          <w:sz w:val="28"/>
          <w:szCs w:val="28"/>
        </w:rPr>
        <w:t>人，其中主要负责人1人，安全管理人员2人</w:t>
      </w:r>
      <w:r>
        <w:rPr>
          <w:rFonts w:hint="eastAsia" w:ascii="宋体" w:hAnsi="宋体" w:eastAsia="宋体" w:cs="宋体"/>
          <w:sz w:val="28"/>
          <w:szCs w:val="24"/>
        </w:rPr>
        <w:t>。</w:t>
      </w:r>
    </w:p>
    <w:p>
      <w:pPr>
        <w:spacing w:line="500" w:lineRule="exact"/>
        <w:jc w:val="center"/>
        <w:rPr>
          <w:rFonts w:hint="default" w:ascii="宋体" w:hAnsi="宋体" w:eastAsia="宋体" w:cs="宋体"/>
          <w:sz w:val="28"/>
          <w:szCs w:val="24"/>
          <w:lang w:val="en-US"/>
        </w:rPr>
      </w:pPr>
      <w:r>
        <w:rPr>
          <w:sz w:val="21"/>
          <w:szCs w:val="24"/>
        </w:rPr>
        <w:drawing>
          <wp:anchor distT="0" distB="0" distL="114300" distR="114300" simplePos="0" relativeHeight="251674624" behindDoc="0" locked="0" layoutInCell="1" allowOverlap="1">
            <wp:simplePos x="0" y="0"/>
            <wp:positionH relativeFrom="column">
              <wp:posOffset>930275</wp:posOffset>
            </wp:positionH>
            <wp:positionV relativeFrom="page">
              <wp:posOffset>1120140</wp:posOffset>
            </wp:positionV>
            <wp:extent cx="4121150" cy="2578100"/>
            <wp:effectExtent l="0" t="0" r="6350" b="0"/>
            <wp:wrapTopAndBottom/>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12"/>
                    <a:stretch>
                      <a:fillRect/>
                    </a:stretch>
                  </pic:blipFill>
                  <pic:spPr>
                    <a:xfrm>
                      <a:off x="0" y="0"/>
                      <a:ext cx="4121150" cy="2578100"/>
                    </a:xfrm>
                    <a:prstGeom prst="rect">
                      <a:avLst/>
                    </a:prstGeom>
                    <a:noFill/>
                    <a:ln>
                      <a:noFill/>
                    </a:ln>
                  </pic:spPr>
                </pic:pic>
              </a:graphicData>
            </a:graphic>
          </wp:anchor>
        </w:drawing>
      </w:r>
      <w:r>
        <w:rPr>
          <w:rFonts w:hint="eastAsia" w:ascii="宋体" w:hAnsi="宋体" w:cs="宋体"/>
          <w:sz w:val="28"/>
          <w:szCs w:val="24"/>
          <w:lang w:val="en-US" w:eastAsia="zh-CN"/>
        </w:rPr>
        <w:t>图2-4安全生产管理机构图</w:t>
      </w:r>
    </w:p>
    <w:p>
      <w:pPr>
        <w:spacing w:line="500" w:lineRule="exact"/>
        <w:ind w:firstLine="560" w:firstLineChars="200"/>
        <w:rPr>
          <w:rFonts w:hint="eastAsia" w:ascii="宋体" w:hAnsi="宋体" w:eastAsia="宋体" w:cs="宋体"/>
          <w:b/>
          <w:bCs/>
          <w:sz w:val="28"/>
          <w:szCs w:val="24"/>
          <w:lang w:val="en-US" w:eastAsia="zh-CN"/>
        </w:rPr>
      </w:pPr>
      <w:r>
        <w:rPr>
          <w:rFonts w:hint="eastAsia" w:ascii="宋体" w:hAnsi="宋体" w:eastAsia="宋体" w:cs="宋体"/>
          <w:b/>
          <w:bCs/>
          <w:sz w:val="28"/>
          <w:szCs w:val="24"/>
          <w:lang w:val="en-US" w:eastAsia="zh-CN"/>
        </w:rPr>
        <w:t>2.安全管理人员取证上岗情况及安全教育培训情况</w:t>
      </w:r>
    </w:p>
    <w:p>
      <w:pPr>
        <w:spacing w:line="500" w:lineRule="exact"/>
        <w:ind w:firstLine="560" w:firstLineChars="200"/>
        <w:rPr>
          <w:rFonts w:hint="eastAsia" w:ascii="宋体" w:hAnsi="宋体" w:eastAsia="宋体" w:cs="宋体"/>
          <w:sz w:val="28"/>
          <w:szCs w:val="24"/>
        </w:rPr>
      </w:pPr>
      <w:r>
        <w:rPr>
          <w:rFonts w:hint="eastAsia" w:ascii="宋体" w:hAnsi="宋体" w:eastAsia="宋体" w:cs="宋体"/>
          <w:sz w:val="28"/>
          <w:szCs w:val="24"/>
        </w:rPr>
        <w:t>矿山的主要负责人、安全管理人员都已经过培训，持证上岗，证书均在有效期。其他从业人员经安全教育培训，考试合格上岗，能够满足安全生产需要。</w:t>
      </w:r>
    </w:p>
    <w:p>
      <w:pPr>
        <w:ind w:firstLine="420" w:firstLineChars="200"/>
        <w:jc w:val="center"/>
        <w:rPr>
          <w:rFonts w:hint="eastAsia" w:ascii="宋体" w:hAnsi="宋体" w:cs="宋体"/>
          <w:b/>
          <w:bCs/>
          <w:szCs w:val="21"/>
        </w:rPr>
      </w:pPr>
      <w:r>
        <w:rPr>
          <w:rFonts w:hint="eastAsia" w:ascii="宋体" w:hAnsi="宋体" w:cs="宋体"/>
          <w:b/>
          <w:bCs/>
          <w:szCs w:val="21"/>
        </w:rPr>
        <w:t>表</w:t>
      </w:r>
      <w:r>
        <w:rPr>
          <w:rFonts w:hint="eastAsia" w:ascii="宋体" w:hAnsi="宋体" w:cs="宋体"/>
          <w:b/>
          <w:bCs/>
          <w:szCs w:val="21"/>
          <w:lang w:val="en-US" w:eastAsia="zh-CN"/>
        </w:rPr>
        <w:t xml:space="preserve">2-4 </w:t>
      </w:r>
      <w:r>
        <w:rPr>
          <w:rFonts w:hint="eastAsia" w:ascii="宋体" w:hAnsi="宋体" w:cs="宋体"/>
          <w:b/>
          <w:bCs/>
          <w:szCs w:val="21"/>
        </w:rPr>
        <w:t>人员持证情况表</w:t>
      </w:r>
    </w:p>
    <w:tbl>
      <w:tblPr>
        <w:tblStyle w:val="35"/>
        <w:tblW w:w="89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9"/>
        <w:gridCol w:w="872"/>
        <w:gridCol w:w="1268"/>
        <w:gridCol w:w="1784"/>
        <w:gridCol w:w="1624"/>
        <w:gridCol w:w="1410"/>
        <w:gridCol w:w="1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exact"/>
          <w:tblHeader/>
          <w:jc w:val="center"/>
        </w:trPr>
        <w:tc>
          <w:tcPr>
            <w:tcW w:w="589"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序号</w:t>
            </w:r>
          </w:p>
        </w:tc>
        <w:tc>
          <w:tcPr>
            <w:tcW w:w="872"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姓名</w:t>
            </w:r>
          </w:p>
        </w:tc>
        <w:tc>
          <w:tcPr>
            <w:tcW w:w="1268" w:type="dxa"/>
            <w:noWrap w:val="0"/>
            <w:vAlign w:val="center"/>
          </w:tcPr>
          <w:p>
            <w:pPr>
              <w:snapToGrid w:val="0"/>
              <w:jc w:val="center"/>
              <w:rPr>
                <w:rFonts w:hint="eastAsia" w:ascii="宋体" w:hAnsi="宋体" w:eastAsia="宋体" w:cs="宋体"/>
                <w:sz w:val="21"/>
                <w:szCs w:val="21"/>
              </w:rPr>
            </w:pPr>
            <w:r>
              <w:rPr>
                <w:rFonts w:hint="eastAsia" w:ascii="宋体" w:hAnsi="宋体" w:eastAsia="宋体" w:cs="宋体"/>
                <w:sz w:val="21"/>
                <w:szCs w:val="21"/>
              </w:rPr>
              <w:t>类型</w:t>
            </w:r>
          </w:p>
        </w:tc>
        <w:tc>
          <w:tcPr>
            <w:tcW w:w="1784" w:type="dxa"/>
            <w:noWrap w:val="0"/>
            <w:vAlign w:val="center"/>
          </w:tcPr>
          <w:p>
            <w:pPr>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发证单位</w:t>
            </w:r>
          </w:p>
        </w:tc>
        <w:tc>
          <w:tcPr>
            <w:tcW w:w="1624" w:type="dxa"/>
            <w:noWrap w:val="0"/>
            <w:vAlign w:val="center"/>
          </w:tcPr>
          <w:p>
            <w:pPr>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证号</w:t>
            </w:r>
          </w:p>
        </w:tc>
        <w:tc>
          <w:tcPr>
            <w:tcW w:w="1410" w:type="dxa"/>
            <w:noWrap w:val="0"/>
            <w:vAlign w:val="center"/>
          </w:tcPr>
          <w:p>
            <w:pPr>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初领日期</w:t>
            </w:r>
          </w:p>
        </w:tc>
        <w:tc>
          <w:tcPr>
            <w:tcW w:w="1395" w:type="dxa"/>
            <w:noWrap w:val="0"/>
            <w:vAlign w:val="center"/>
          </w:tcPr>
          <w:p>
            <w:pPr>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exact"/>
          <w:jc w:val="center"/>
        </w:trPr>
        <w:tc>
          <w:tcPr>
            <w:tcW w:w="589" w:type="dxa"/>
            <w:noWrap w:val="0"/>
            <w:vAlign w:val="center"/>
          </w:tcPr>
          <w:p>
            <w:pPr>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1</w:t>
            </w:r>
          </w:p>
        </w:tc>
        <w:tc>
          <w:tcPr>
            <w:tcW w:w="872" w:type="dxa"/>
            <w:noWrap w:val="0"/>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代俊</w:t>
            </w:r>
          </w:p>
        </w:tc>
        <w:tc>
          <w:tcPr>
            <w:tcW w:w="1268"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主要负责人</w:t>
            </w:r>
          </w:p>
        </w:tc>
        <w:tc>
          <w:tcPr>
            <w:tcW w:w="1784"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楚雄彝族自治州</w:t>
            </w:r>
            <w:r>
              <w:rPr>
                <w:rFonts w:hint="eastAsia" w:ascii="宋体" w:hAnsi="宋体" w:eastAsia="宋体" w:cs="宋体"/>
                <w:sz w:val="21"/>
                <w:szCs w:val="21"/>
              </w:rPr>
              <w:t>应急管理局</w:t>
            </w:r>
          </w:p>
        </w:tc>
        <w:tc>
          <w:tcPr>
            <w:tcW w:w="1624" w:type="dxa"/>
            <w:noWrap w:val="0"/>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rPr>
              <w:t>532</w:t>
            </w:r>
            <w:r>
              <w:rPr>
                <w:rFonts w:hint="eastAsia" w:ascii="宋体" w:hAnsi="宋体" w:eastAsia="宋体" w:cs="宋体"/>
                <w:sz w:val="21"/>
                <w:szCs w:val="21"/>
                <w:lang w:val="en-US" w:eastAsia="zh-CN"/>
              </w:rPr>
              <w:t>323198502100312</w:t>
            </w:r>
          </w:p>
        </w:tc>
        <w:tc>
          <w:tcPr>
            <w:tcW w:w="1410" w:type="dxa"/>
            <w:noWrap w:val="0"/>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rPr>
              <w:t>202</w:t>
            </w:r>
            <w:r>
              <w:rPr>
                <w:rFonts w:hint="eastAsia" w:ascii="宋体" w:hAnsi="宋体" w:cs="宋体"/>
                <w:sz w:val="21"/>
                <w:szCs w:val="21"/>
                <w:lang w:val="en-US" w:eastAsia="zh-CN"/>
              </w:rPr>
              <w:t>4</w:t>
            </w:r>
            <w:r>
              <w:rPr>
                <w:rFonts w:hint="eastAsia" w:ascii="宋体" w:hAnsi="宋体" w:eastAsia="宋体" w:cs="宋体"/>
                <w:sz w:val="21"/>
                <w:szCs w:val="21"/>
              </w:rPr>
              <w:t>.0</w:t>
            </w:r>
            <w:r>
              <w:rPr>
                <w:rFonts w:hint="eastAsia" w:ascii="宋体" w:hAnsi="宋体" w:cs="宋体"/>
                <w:sz w:val="21"/>
                <w:szCs w:val="21"/>
                <w:lang w:val="en-US" w:eastAsia="zh-CN"/>
              </w:rPr>
              <w:t>6</w:t>
            </w:r>
            <w:r>
              <w:rPr>
                <w:rFonts w:hint="eastAsia" w:ascii="宋体" w:hAnsi="宋体" w:eastAsia="宋体" w:cs="宋体"/>
                <w:sz w:val="21"/>
                <w:szCs w:val="21"/>
              </w:rPr>
              <w:t>.</w:t>
            </w:r>
            <w:r>
              <w:rPr>
                <w:rFonts w:hint="eastAsia" w:ascii="宋体" w:hAnsi="宋体" w:cs="宋体"/>
                <w:sz w:val="21"/>
                <w:szCs w:val="21"/>
                <w:lang w:val="en-US" w:eastAsia="zh-CN"/>
              </w:rPr>
              <w:t>5</w:t>
            </w:r>
          </w:p>
        </w:tc>
        <w:tc>
          <w:tcPr>
            <w:tcW w:w="1395"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202</w:t>
            </w:r>
            <w:r>
              <w:rPr>
                <w:rFonts w:hint="eastAsia" w:ascii="宋体" w:hAnsi="宋体" w:cs="宋体"/>
                <w:sz w:val="21"/>
                <w:szCs w:val="21"/>
                <w:lang w:val="en-US" w:eastAsia="zh-CN"/>
              </w:rPr>
              <w:t>7</w:t>
            </w:r>
            <w:r>
              <w:rPr>
                <w:rFonts w:hint="eastAsia" w:ascii="宋体" w:hAnsi="宋体" w:eastAsia="宋体" w:cs="宋体"/>
                <w:sz w:val="21"/>
                <w:szCs w:val="21"/>
              </w:rPr>
              <w:t>.0</w:t>
            </w:r>
            <w:r>
              <w:rPr>
                <w:rFonts w:hint="eastAsia" w:ascii="宋体" w:hAnsi="宋体" w:cs="宋体"/>
                <w:sz w:val="21"/>
                <w:szCs w:val="21"/>
                <w:lang w:val="en-US" w:eastAsia="zh-CN"/>
              </w:rPr>
              <w:t>6</w:t>
            </w:r>
            <w:r>
              <w:rPr>
                <w:rFonts w:hint="eastAsia" w:ascii="宋体" w:hAnsi="宋体" w:eastAsia="宋体" w:cs="宋体"/>
                <w:sz w:val="21"/>
                <w:szCs w:val="21"/>
              </w:rPr>
              <w:t>.</w:t>
            </w:r>
            <w:r>
              <w:rPr>
                <w:rFonts w:hint="eastAsia" w:ascii="宋体" w:hAnsi="宋体" w:cs="宋体"/>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exact"/>
          <w:jc w:val="center"/>
        </w:trPr>
        <w:tc>
          <w:tcPr>
            <w:tcW w:w="589" w:type="dxa"/>
            <w:noWrap w:val="0"/>
            <w:vAlign w:val="center"/>
          </w:tcPr>
          <w:p>
            <w:pPr>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2</w:t>
            </w:r>
          </w:p>
        </w:tc>
        <w:tc>
          <w:tcPr>
            <w:tcW w:w="872" w:type="dxa"/>
            <w:noWrap w:val="0"/>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李光彪</w:t>
            </w:r>
          </w:p>
        </w:tc>
        <w:tc>
          <w:tcPr>
            <w:tcW w:w="1268"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安全生产管理人员</w:t>
            </w:r>
          </w:p>
        </w:tc>
        <w:tc>
          <w:tcPr>
            <w:tcW w:w="1784"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楚雄彝族自治州</w:t>
            </w:r>
            <w:r>
              <w:rPr>
                <w:rFonts w:hint="eastAsia" w:ascii="宋体" w:hAnsi="宋体" w:eastAsia="宋体" w:cs="宋体"/>
                <w:sz w:val="21"/>
                <w:szCs w:val="21"/>
              </w:rPr>
              <w:t>应急管理局</w:t>
            </w:r>
          </w:p>
        </w:tc>
        <w:tc>
          <w:tcPr>
            <w:tcW w:w="1624" w:type="dxa"/>
            <w:noWrap w:val="0"/>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rPr>
              <w:t>53</w:t>
            </w:r>
            <w:r>
              <w:rPr>
                <w:rFonts w:hint="eastAsia" w:ascii="宋体" w:hAnsi="宋体" w:eastAsia="宋体" w:cs="宋体"/>
                <w:sz w:val="21"/>
                <w:szCs w:val="21"/>
                <w:lang w:val="en-US" w:eastAsia="zh-CN"/>
              </w:rPr>
              <w:t>2323198307250331</w:t>
            </w:r>
          </w:p>
        </w:tc>
        <w:tc>
          <w:tcPr>
            <w:tcW w:w="1410"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202</w:t>
            </w:r>
            <w:r>
              <w:rPr>
                <w:rFonts w:hint="eastAsia" w:ascii="宋体" w:hAnsi="宋体" w:cs="宋体"/>
                <w:sz w:val="21"/>
                <w:szCs w:val="21"/>
                <w:lang w:val="en-US" w:eastAsia="zh-CN"/>
              </w:rPr>
              <w:t>4</w:t>
            </w:r>
            <w:r>
              <w:rPr>
                <w:rFonts w:hint="eastAsia" w:ascii="宋体" w:hAnsi="宋体" w:eastAsia="宋体" w:cs="宋体"/>
                <w:sz w:val="21"/>
                <w:szCs w:val="21"/>
              </w:rPr>
              <w:t>.0</w:t>
            </w:r>
            <w:r>
              <w:rPr>
                <w:rFonts w:hint="eastAsia" w:ascii="宋体" w:hAnsi="宋体" w:cs="宋体"/>
                <w:sz w:val="21"/>
                <w:szCs w:val="21"/>
                <w:lang w:val="en-US" w:eastAsia="zh-CN"/>
              </w:rPr>
              <w:t>6</w:t>
            </w:r>
            <w:r>
              <w:rPr>
                <w:rFonts w:hint="eastAsia" w:ascii="宋体" w:hAnsi="宋体" w:eastAsia="宋体" w:cs="宋体"/>
                <w:sz w:val="21"/>
                <w:szCs w:val="21"/>
              </w:rPr>
              <w:t>.</w:t>
            </w:r>
            <w:r>
              <w:rPr>
                <w:rFonts w:hint="eastAsia" w:ascii="宋体" w:hAnsi="宋体" w:cs="宋体"/>
                <w:sz w:val="21"/>
                <w:szCs w:val="21"/>
                <w:lang w:val="en-US" w:eastAsia="zh-CN"/>
              </w:rPr>
              <w:t>5</w:t>
            </w:r>
          </w:p>
        </w:tc>
        <w:tc>
          <w:tcPr>
            <w:tcW w:w="1395"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202</w:t>
            </w:r>
            <w:r>
              <w:rPr>
                <w:rFonts w:hint="eastAsia" w:ascii="宋体" w:hAnsi="宋体" w:cs="宋体"/>
                <w:sz w:val="21"/>
                <w:szCs w:val="21"/>
                <w:lang w:val="en-US" w:eastAsia="zh-CN"/>
              </w:rPr>
              <w:t>7</w:t>
            </w:r>
            <w:r>
              <w:rPr>
                <w:rFonts w:hint="eastAsia" w:ascii="宋体" w:hAnsi="宋体" w:eastAsia="宋体" w:cs="宋体"/>
                <w:sz w:val="21"/>
                <w:szCs w:val="21"/>
              </w:rPr>
              <w:t>.0</w:t>
            </w:r>
            <w:r>
              <w:rPr>
                <w:rFonts w:hint="eastAsia" w:ascii="宋体" w:hAnsi="宋体" w:cs="宋体"/>
                <w:sz w:val="21"/>
                <w:szCs w:val="21"/>
                <w:lang w:val="en-US" w:eastAsia="zh-CN"/>
              </w:rPr>
              <w:t>6</w:t>
            </w:r>
            <w:r>
              <w:rPr>
                <w:rFonts w:hint="eastAsia" w:ascii="宋体" w:hAnsi="宋体" w:eastAsia="宋体" w:cs="宋体"/>
                <w:sz w:val="21"/>
                <w:szCs w:val="21"/>
              </w:rPr>
              <w:t>.</w:t>
            </w:r>
            <w:r>
              <w:rPr>
                <w:rFonts w:hint="eastAsia" w:ascii="宋体" w:hAnsi="宋体" w:cs="宋体"/>
                <w:sz w:val="21"/>
                <w:szCs w:val="21"/>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exact"/>
          <w:jc w:val="center"/>
        </w:trPr>
        <w:tc>
          <w:tcPr>
            <w:tcW w:w="589" w:type="dxa"/>
            <w:noWrap w:val="0"/>
            <w:vAlign w:val="center"/>
          </w:tcPr>
          <w:p>
            <w:pPr>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3</w:t>
            </w:r>
          </w:p>
        </w:tc>
        <w:tc>
          <w:tcPr>
            <w:tcW w:w="872" w:type="dxa"/>
            <w:noWrap w:val="0"/>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val="en-US" w:eastAsia="zh-CN"/>
              </w:rPr>
              <w:t>李玉平</w:t>
            </w:r>
          </w:p>
        </w:tc>
        <w:tc>
          <w:tcPr>
            <w:tcW w:w="1268"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安全生产管理人员</w:t>
            </w:r>
          </w:p>
        </w:tc>
        <w:tc>
          <w:tcPr>
            <w:tcW w:w="1784"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楚雄彝族自治州</w:t>
            </w:r>
            <w:r>
              <w:rPr>
                <w:rFonts w:hint="eastAsia" w:ascii="宋体" w:hAnsi="宋体" w:eastAsia="宋体" w:cs="宋体"/>
                <w:sz w:val="21"/>
                <w:szCs w:val="21"/>
              </w:rPr>
              <w:t>应急管理局</w:t>
            </w:r>
          </w:p>
        </w:tc>
        <w:tc>
          <w:tcPr>
            <w:tcW w:w="1624" w:type="dxa"/>
            <w:noWrap w:val="0"/>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rPr>
              <w:t>532</w:t>
            </w:r>
            <w:r>
              <w:rPr>
                <w:rFonts w:hint="eastAsia" w:ascii="宋体" w:hAnsi="宋体" w:eastAsia="宋体" w:cs="宋体"/>
                <w:sz w:val="21"/>
                <w:szCs w:val="21"/>
                <w:lang w:val="en-US" w:eastAsia="zh-CN"/>
              </w:rPr>
              <w:t>326199309120315</w:t>
            </w:r>
          </w:p>
        </w:tc>
        <w:tc>
          <w:tcPr>
            <w:tcW w:w="1410"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202</w:t>
            </w:r>
            <w:r>
              <w:rPr>
                <w:rFonts w:hint="eastAsia" w:ascii="宋体" w:hAnsi="宋体" w:eastAsia="宋体" w:cs="宋体"/>
                <w:sz w:val="21"/>
                <w:szCs w:val="21"/>
                <w:lang w:val="en-US" w:eastAsia="zh-CN"/>
              </w:rPr>
              <w:t>1</w:t>
            </w:r>
            <w:r>
              <w:rPr>
                <w:rFonts w:hint="eastAsia" w:ascii="宋体" w:hAnsi="宋体" w:eastAsia="宋体" w:cs="宋体"/>
                <w:sz w:val="21"/>
                <w:szCs w:val="21"/>
              </w:rPr>
              <w:t>.0</w:t>
            </w:r>
            <w:r>
              <w:rPr>
                <w:rFonts w:hint="eastAsia" w:ascii="宋体" w:hAnsi="宋体" w:eastAsia="宋体" w:cs="宋体"/>
                <w:sz w:val="21"/>
                <w:szCs w:val="21"/>
                <w:lang w:val="en-US" w:eastAsia="zh-CN"/>
              </w:rPr>
              <w:t>5</w:t>
            </w:r>
            <w:r>
              <w:rPr>
                <w:rFonts w:hint="eastAsia" w:ascii="宋体" w:hAnsi="宋体" w:eastAsia="宋体" w:cs="宋体"/>
                <w:sz w:val="21"/>
                <w:szCs w:val="21"/>
              </w:rPr>
              <w:t>.</w:t>
            </w:r>
            <w:r>
              <w:rPr>
                <w:rFonts w:hint="eastAsia" w:ascii="宋体" w:hAnsi="宋体" w:eastAsia="宋体" w:cs="宋体"/>
                <w:sz w:val="21"/>
                <w:szCs w:val="21"/>
                <w:lang w:val="en-US" w:eastAsia="zh-CN"/>
              </w:rPr>
              <w:t>22</w:t>
            </w:r>
          </w:p>
        </w:tc>
        <w:tc>
          <w:tcPr>
            <w:tcW w:w="1395"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rPr>
              <w:t>202</w:t>
            </w:r>
            <w:r>
              <w:rPr>
                <w:rFonts w:hint="eastAsia" w:ascii="宋体" w:hAnsi="宋体" w:eastAsia="宋体" w:cs="宋体"/>
                <w:sz w:val="21"/>
                <w:szCs w:val="21"/>
                <w:lang w:val="en-US" w:eastAsia="zh-CN"/>
              </w:rPr>
              <w:t>4</w:t>
            </w:r>
            <w:r>
              <w:rPr>
                <w:rFonts w:hint="eastAsia" w:ascii="宋体" w:hAnsi="宋体" w:eastAsia="宋体" w:cs="宋体"/>
                <w:sz w:val="21"/>
                <w:szCs w:val="21"/>
              </w:rPr>
              <w:t>.0</w:t>
            </w:r>
            <w:r>
              <w:rPr>
                <w:rFonts w:hint="eastAsia" w:ascii="宋体" w:hAnsi="宋体" w:eastAsia="宋体" w:cs="宋体"/>
                <w:sz w:val="21"/>
                <w:szCs w:val="21"/>
                <w:lang w:val="en-US" w:eastAsia="zh-CN"/>
              </w:rPr>
              <w:t>5</w:t>
            </w:r>
            <w:r>
              <w:rPr>
                <w:rFonts w:hint="eastAsia" w:ascii="宋体" w:hAnsi="宋体" w:eastAsia="宋体" w:cs="宋体"/>
                <w:sz w:val="21"/>
                <w:szCs w:val="21"/>
              </w:rPr>
              <w:t>.</w:t>
            </w:r>
            <w:r>
              <w:rPr>
                <w:rFonts w:hint="eastAsia" w:ascii="宋体" w:hAnsi="宋体" w:eastAsia="宋体" w:cs="宋体"/>
                <w:sz w:val="21"/>
                <w:szCs w:val="21"/>
                <w:lang w:val="en-US" w:eastAsia="zh-CN"/>
              </w:rPr>
              <w:t>2</w:t>
            </w:r>
            <w:r>
              <w:rPr>
                <w:rFonts w:hint="eastAsia" w:ascii="宋体" w:hAnsi="宋体" w:eastAsia="宋体" w:cs="宋体"/>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exact"/>
          <w:jc w:val="center"/>
        </w:trPr>
        <w:tc>
          <w:tcPr>
            <w:tcW w:w="589" w:type="dxa"/>
            <w:noWrap w:val="0"/>
            <w:vAlign w:val="center"/>
          </w:tcPr>
          <w:p>
            <w:pPr>
              <w:snapToGrid w:val="0"/>
              <w:spacing w:line="300" w:lineRule="exact"/>
              <w:jc w:val="center"/>
              <w:rPr>
                <w:rFonts w:hint="eastAsia" w:ascii="宋体" w:hAnsi="宋体" w:eastAsia="宋体" w:cs="宋体"/>
                <w:sz w:val="21"/>
                <w:szCs w:val="21"/>
              </w:rPr>
            </w:pPr>
            <w:r>
              <w:rPr>
                <w:rFonts w:hint="eastAsia" w:ascii="宋体" w:hAnsi="宋体" w:eastAsia="宋体" w:cs="宋体"/>
                <w:sz w:val="21"/>
                <w:szCs w:val="21"/>
              </w:rPr>
              <w:t>4</w:t>
            </w:r>
          </w:p>
        </w:tc>
        <w:tc>
          <w:tcPr>
            <w:tcW w:w="872" w:type="dxa"/>
            <w:noWrap w:val="0"/>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董学财</w:t>
            </w:r>
          </w:p>
        </w:tc>
        <w:tc>
          <w:tcPr>
            <w:tcW w:w="1268" w:type="dxa"/>
            <w:noWrap w:val="0"/>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电工作业</w:t>
            </w:r>
          </w:p>
        </w:tc>
        <w:tc>
          <w:tcPr>
            <w:tcW w:w="1784"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楚雄彝族自治州</w:t>
            </w:r>
            <w:r>
              <w:rPr>
                <w:rFonts w:hint="eastAsia" w:ascii="宋体" w:hAnsi="宋体" w:eastAsia="宋体" w:cs="宋体"/>
                <w:sz w:val="21"/>
                <w:szCs w:val="21"/>
              </w:rPr>
              <w:t>应急管理局</w:t>
            </w:r>
          </w:p>
        </w:tc>
        <w:tc>
          <w:tcPr>
            <w:tcW w:w="1624" w:type="dxa"/>
            <w:noWrap w:val="0"/>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T532301198110283318</w:t>
            </w:r>
          </w:p>
        </w:tc>
        <w:tc>
          <w:tcPr>
            <w:tcW w:w="1410" w:type="dxa"/>
            <w:noWrap w:val="0"/>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rPr>
              <w:t>20</w:t>
            </w:r>
            <w:r>
              <w:rPr>
                <w:rFonts w:hint="eastAsia" w:ascii="宋体" w:hAnsi="宋体" w:eastAsia="宋体" w:cs="宋体"/>
                <w:sz w:val="21"/>
                <w:szCs w:val="21"/>
                <w:lang w:val="en-US" w:eastAsia="zh-CN"/>
              </w:rPr>
              <w:t>19.11.20</w:t>
            </w:r>
          </w:p>
        </w:tc>
        <w:tc>
          <w:tcPr>
            <w:tcW w:w="1395" w:type="dxa"/>
            <w:noWrap w:val="0"/>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rPr>
              <w:t>202</w:t>
            </w:r>
            <w:r>
              <w:rPr>
                <w:rFonts w:hint="eastAsia" w:ascii="宋体" w:hAnsi="宋体" w:eastAsia="宋体" w:cs="宋体"/>
                <w:sz w:val="21"/>
                <w:szCs w:val="21"/>
                <w:lang w:val="en-US" w:eastAsia="zh-CN"/>
              </w:rPr>
              <w:t>5.11.20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exact"/>
          <w:jc w:val="center"/>
        </w:trPr>
        <w:tc>
          <w:tcPr>
            <w:tcW w:w="589" w:type="dxa"/>
            <w:noWrap w:val="0"/>
            <w:vAlign w:val="center"/>
          </w:tcPr>
          <w:p>
            <w:pPr>
              <w:snapToGrid w:val="0"/>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872" w:type="dxa"/>
            <w:noWrap w:val="0"/>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董学财</w:t>
            </w:r>
          </w:p>
        </w:tc>
        <w:tc>
          <w:tcPr>
            <w:tcW w:w="1268" w:type="dxa"/>
            <w:noWrap w:val="0"/>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焊接与热切割作业</w:t>
            </w:r>
          </w:p>
        </w:tc>
        <w:tc>
          <w:tcPr>
            <w:tcW w:w="1784"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楚雄彝族自治州</w:t>
            </w:r>
            <w:r>
              <w:rPr>
                <w:rFonts w:hint="eastAsia" w:ascii="宋体" w:hAnsi="宋体" w:eastAsia="宋体" w:cs="宋体"/>
                <w:sz w:val="21"/>
                <w:szCs w:val="21"/>
              </w:rPr>
              <w:t>应急管理局</w:t>
            </w:r>
          </w:p>
        </w:tc>
        <w:tc>
          <w:tcPr>
            <w:tcW w:w="1624" w:type="dxa"/>
            <w:noWrap w:val="0"/>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T532301198110283318</w:t>
            </w:r>
          </w:p>
        </w:tc>
        <w:tc>
          <w:tcPr>
            <w:tcW w:w="1410" w:type="dxa"/>
            <w:noWrap w:val="0"/>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rPr>
              <w:t>20</w:t>
            </w:r>
            <w:r>
              <w:rPr>
                <w:rFonts w:hint="eastAsia" w:ascii="宋体" w:hAnsi="宋体" w:eastAsia="宋体" w:cs="宋体"/>
                <w:sz w:val="21"/>
                <w:szCs w:val="21"/>
                <w:lang w:val="en-US" w:eastAsia="zh-CN"/>
              </w:rPr>
              <w:t>19.11.18</w:t>
            </w:r>
          </w:p>
        </w:tc>
        <w:tc>
          <w:tcPr>
            <w:tcW w:w="1395" w:type="dxa"/>
            <w:noWrap w:val="0"/>
            <w:vAlign w:val="center"/>
          </w:tcPr>
          <w:p>
            <w:pPr>
              <w:jc w:val="center"/>
              <w:rPr>
                <w:rFonts w:hint="eastAsia" w:ascii="宋体" w:hAnsi="宋体" w:eastAsia="宋体" w:cs="宋体"/>
                <w:sz w:val="21"/>
                <w:szCs w:val="21"/>
                <w:lang w:val="en-US"/>
              </w:rPr>
            </w:pPr>
            <w:r>
              <w:rPr>
                <w:rFonts w:hint="eastAsia" w:ascii="宋体" w:hAnsi="宋体" w:eastAsia="宋体" w:cs="宋体"/>
                <w:sz w:val="21"/>
                <w:szCs w:val="21"/>
              </w:rPr>
              <w:t>202</w:t>
            </w:r>
            <w:r>
              <w:rPr>
                <w:rFonts w:hint="eastAsia" w:ascii="宋体" w:hAnsi="宋体" w:eastAsia="宋体" w:cs="宋体"/>
                <w:sz w:val="21"/>
                <w:szCs w:val="21"/>
                <w:lang w:val="en-US" w:eastAsia="zh-CN"/>
              </w:rPr>
              <w:t>5.11.18</w:t>
            </w:r>
          </w:p>
        </w:tc>
      </w:tr>
    </w:tbl>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3.安全生产责任制度、安全管理制度和安全操作规程</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根据矿山生产的具体情况，制定了相关的安全生产责任制、安全</w:t>
      </w:r>
      <w:r>
        <w:rPr>
          <w:rFonts w:hint="eastAsia" w:ascii="宋体" w:hAnsi="宋体" w:eastAsia="宋体" w:cs="宋体"/>
          <w:sz w:val="28"/>
          <w:szCs w:val="28"/>
          <w:lang w:val="en-US" w:eastAsia="zh-CN"/>
        </w:rPr>
        <w:t>生产</w:t>
      </w:r>
      <w:r>
        <w:rPr>
          <w:rFonts w:hint="eastAsia" w:ascii="宋体" w:hAnsi="宋体" w:eastAsia="宋体" w:cs="宋体"/>
          <w:sz w:val="28"/>
          <w:szCs w:val="28"/>
        </w:rPr>
        <w:t>管理制度</w:t>
      </w:r>
      <w:r>
        <w:rPr>
          <w:rFonts w:hint="eastAsia" w:ascii="宋体" w:hAnsi="宋体" w:eastAsia="宋体" w:cs="宋体"/>
          <w:sz w:val="28"/>
          <w:szCs w:val="28"/>
          <w:lang w:val="en-US" w:eastAsia="zh-CN"/>
        </w:rPr>
        <w:t>汇编</w:t>
      </w:r>
      <w:r>
        <w:rPr>
          <w:rFonts w:hint="eastAsia" w:ascii="宋体" w:hAnsi="宋体" w:eastAsia="宋体" w:cs="宋体"/>
          <w:sz w:val="28"/>
          <w:szCs w:val="28"/>
        </w:rPr>
        <w:t>及</w:t>
      </w:r>
      <w:r>
        <w:rPr>
          <w:rFonts w:hint="eastAsia" w:ascii="宋体" w:hAnsi="宋体" w:eastAsia="宋体" w:cs="宋体"/>
          <w:sz w:val="28"/>
          <w:szCs w:val="28"/>
          <w:lang w:val="en-US" w:eastAsia="zh-CN"/>
        </w:rPr>
        <w:t>岗位</w:t>
      </w:r>
      <w:r>
        <w:rPr>
          <w:rFonts w:hint="eastAsia" w:ascii="宋体" w:hAnsi="宋体" w:eastAsia="宋体" w:cs="宋体"/>
          <w:sz w:val="28"/>
          <w:szCs w:val="28"/>
        </w:rPr>
        <w:t>安全操作规程</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见附件9</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bCs/>
          <w:sz w:val="28"/>
          <w:szCs w:val="28"/>
          <w:lang w:val="en-US" w:eastAsia="zh-CN"/>
        </w:rPr>
      </w:pPr>
      <w:bookmarkStart w:id="181" w:name="_Toc293332314"/>
      <w:bookmarkStart w:id="182" w:name="_Toc16238699"/>
      <w:bookmarkStart w:id="183" w:name="_Toc365494318"/>
      <w:bookmarkStart w:id="184" w:name="_Toc365494207"/>
      <w:bookmarkStart w:id="185" w:name="_Toc28807"/>
      <w:r>
        <w:rPr>
          <w:rFonts w:hint="eastAsia" w:ascii="宋体" w:hAnsi="宋体" w:eastAsia="宋体" w:cs="宋体"/>
          <w:b/>
          <w:bCs/>
          <w:sz w:val="28"/>
          <w:szCs w:val="28"/>
          <w:lang w:val="en-US" w:eastAsia="zh-CN"/>
        </w:rPr>
        <w:t>4</w:t>
      </w:r>
      <w:bookmarkEnd w:id="181"/>
      <w:bookmarkEnd w:id="182"/>
      <w:bookmarkEnd w:id="183"/>
      <w:bookmarkEnd w:id="184"/>
      <w:r>
        <w:rPr>
          <w:rFonts w:hint="eastAsia" w:ascii="宋体" w:hAnsi="宋体" w:eastAsia="宋体" w:cs="宋体"/>
          <w:b/>
          <w:bCs/>
          <w:sz w:val="28"/>
          <w:szCs w:val="28"/>
          <w:lang w:val="en-US" w:eastAsia="zh-CN"/>
        </w:rPr>
        <w:t>.安全生产台账记录</w:t>
      </w:r>
      <w:bookmarkEnd w:id="185"/>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4"/>
        </w:rPr>
      </w:pPr>
      <w:r>
        <w:rPr>
          <w:rFonts w:hint="eastAsia" w:ascii="宋体" w:hAnsi="宋体" w:eastAsia="宋体" w:cs="宋体"/>
          <w:sz w:val="28"/>
          <w:szCs w:val="24"/>
        </w:rPr>
        <w:t>现场检查，矿山已建立了相当完善的安全生产记录台帐，如安全生产会议记录、安全教育培训实施记录、设备设施台账、安全生产检查记录、边坡检查记录台账、隐患治理台账、劳动防护用品发放记录、安全生产费用使用台账等</w:t>
      </w:r>
      <w:bookmarkStart w:id="186" w:name="_Hlk116482658"/>
      <w:r>
        <w:rPr>
          <w:rFonts w:hint="eastAsia" w:ascii="宋体" w:hAnsi="宋体" w:eastAsia="宋体" w:cs="宋体"/>
          <w:sz w:val="28"/>
          <w:szCs w:val="24"/>
        </w:rPr>
        <w:t>。但部分台帐记录填写不</w:t>
      </w:r>
      <w:bookmarkEnd w:id="186"/>
      <w:r>
        <w:rPr>
          <w:rFonts w:hint="eastAsia" w:ascii="宋体" w:hAnsi="宋体" w:eastAsia="宋体" w:cs="宋体"/>
          <w:sz w:val="28"/>
          <w:szCs w:val="24"/>
        </w:rPr>
        <w:t>规范，企业应按照《安全生产法》及《云南省安全生产条例》的规定的安全管理台帐建立健全本矿安全管理台帐，并做好相关记录内容。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sz w:val="28"/>
          <w:szCs w:val="24"/>
          <w:lang w:val="sq-AL"/>
        </w:rPr>
      </w:pPr>
      <w:r>
        <w:rPr>
          <w:rFonts w:hint="eastAsia" w:ascii="宋体" w:hAnsi="宋体" w:eastAsia="宋体" w:cs="宋体"/>
          <w:b/>
          <w:bCs/>
          <w:color w:val="000000" w:themeColor="text1"/>
          <w:sz w:val="28"/>
          <w:szCs w:val="28"/>
          <w:lang w:val="en-US" w:eastAsia="zh-CN"/>
          <w14:textFill>
            <w14:solidFill>
              <w14:schemeClr w14:val="tx1"/>
            </w14:solidFill>
          </w14:textFill>
        </w:rPr>
        <w:t>5.</w:t>
      </w:r>
      <w:r>
        <w:rPr>
          <w:rFonts w:hint="eastAsia" w:ascii="宋体" w:hAnsi="宋体" w:eastAsia="宋体" w:cs="宋体"/>
          <w:b/>
          <w:bCs/>
          <w:color w:val="000000" w:themeColor="text1"/>
          <w:sz w:val="28"/>
          <w:szCs w:val="28"/>
          <w14:textFill>
            <w14:solidFill>
              <w14:schemeClr w14:val="tx1"/>
            </w14:solidFill>
          </w14:textFill>
        </w:rPr>
        <w:t>事故应急预案</w:t>
      </w:r>
      <w:bookmarkStart w:id="187" w:name="_Toc365494323"/>
      <w:bookmarkStart w:id="188" w:name="_Toc365494212"/>
      <w:bookmarkStart w:id="189" w:name="_Toc293332319"/>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4"/>
          <w:lang w:val="sq-AL"/>
        </w:rPr>
        <w:t>企业于202</w:t>
      </w:r>
      <w:r>
        <w:rPr>
          <w:rFonts w:hint="eastAsia" w:ascii="宋体" w:hAnsi="宋体" w:eastAsia="宋体" w:cs="宋体"/>
          <w:sz w:val="28"/>
          <w:szCs w:val="24"/>
          <w:lang w:val="en-US" w:eastAsia="zh-CN"/>
        </w:rPr>
        <w:t>0</w:t>
      </w:r>
      <w:r>
        <w:rPr>
          <w:rFonts w:hint="eastAsia" w:ascii="宋体" w:hAnsi="宋体" w:eastAsia="宋体" w:cs="宋体"/>
          <w:sz w:val="28"/>
          <w:szCs w:val="24"/>
          <w:lang w:val="sq-AL"/>
        </w:rPr>
        <w:t>年</w:t>
      </w:r>
      <w:r>
        <w:rPr>
          <w:rFonts w:hint="eastAsia" w:ascii="宋体" w:hAnsi="宋体" w:eastAsia="宋体" w:cs="宋体"/>
          <w:sz w:val="28"/>
          <w:szCs w:val="24"/>
          <w:lang w:val="en-US" w:eastAsia="zh-CN"/>
        </w:rPr>
        <w:t>10</w:t>
      </w:r>
      <w:r>
        <w:rPr>
          <w:rFonts w:hint="eastAsia" w:ascii="宋体" w:hAnsi="宋体" w:eastAsia="宋体" w:cs="宋体"/>
          <w:sz w:val="28"/>
          <w:szCs w:val="24"/>
          <w:lang w:val="sq-AL"/>
        </w:rPr>
        <w:t>月</w:t>
      </w:r>
      <w:r>
        <w:rPr>
          <w:rFonts w:hint="eastAsia" w:ascii="宋体" w:hAnsi="宋体" w:eastAsia="宋体" w:cs="宋体"/>
          <w:sz w:val="28"/>
          <w:szCs w:val="24"/>
          <w:lang w:val="en-US" w:eastAsia="zh-CN"/>
        </w:rPr>
        <w:t>编制</w:t>
      </w:r>
      <w:r>
        <w:rPr>
          <w:rFonts w:hint="eastAsia" w:ascii="宋体" w:hAnsi="宋体" w:eastAsia="宋体" w:cs="宋体"/>
          <w:sz w:val="28"/>
          <w:szCs w:val="24"/>
          <w:lang w:val="sq-AL" w:eastAsia="zh-CN"/>
        </w:rPr>
        <w:t>了</w:t>
      </w:r>
      <w:r>
        <w:rPr>
          <w:rFonts w:hint="eastAsia" w:ascii="宋体" w:hAnsi="宋体" w:eastAsia="宋体" w:cs="宋体"/>
          <w:sz w:val="28"/>
          <w:szCs w:val="24"/>
          <w:lang w:val="sq-AL"/>
        </w:rPr>
        <w:t>《</w:t>
      </w:r>
      <w:r>
        <w:rPr>
          <w:rFonts w:hint="eastAsia" w:ascii="宋体" w:hAnsi="宋体" w:eastAsia="宋体" w:cs="宋体"/>
          <w:sz w:val="28"/>
          <w:szCs w:val="24"/>
          <w:lang w:eastAsia="zh-CN"/>
        </w:rPr>
        <w:t>牟定共和西山寺砂场</w:t>
      </w:r>
      <w:r>
        <w:rPr>
          <w:rFonts w:hint="eastAsia" w:ascii="宋体" w:hAnsi="宋体" w:eastAsia="宋体" w:cs="宋体"/>
          <w:sz w:val="28"/>
          <w:szCs w:val="24"/>
          <w:lang w:val="sq-AL"/>
        </w:rPr>
        <w:t>生产安全事故应急预案》，该预案通过专家评审并在</w:t>
      </w:r>
      <w:r>
        <w:rPr>
          <w:rFonts w:hint="eastAsia" w:ascii="宋体" w:hAnsi="宋体" w:eastAsia="宋体" w:cs="宋体"/>
          <w:sz w:val="28"/>
          <w:szCs w:val="24"/>
          <w:lang w:val="en-US" w:eastAsia="zh-CN"/>
        </w:rPr>
        <w:t>牟定</w:t>
      </w:r>
      <w:r>
        <w:rPr>
          <w:rFonts w:hint="eastAsia" w:ascii="宋体" w:hAnsi="宋体" w:eastAsia="宋体" w:cs="宋体"/>
          <w:sz w:val="28"/>
          <w:szCs w:val="24"/>
          <w:lang w:val="sq-AL" w:eastAsia="zh-CN"/>
        </w:rPr>
        <w:t>县</w:t>
      </w:r>
      <w:r>
        <w:rPr>
          <w:rFonts w:hint="eastAsia" w:ascii="宋体" w:hAnsi="宋体" w:eastAsia="宋体" w:cs="宋体"/>
          <w:sz w:val="28"/>
          <w:szCs w:val="24"/>
          <w:lang w:val="sq-AL"/>
        </w:rPr>
        <w:t>应急管理局备案（备案编号：</w:t>
      </w:r>
      <w:r>
        <w:rPr>
          <w:rFonts w:hint="eastAsia" w:ascii="宋体" w:hAnsi="宋体" w:eastAsia="宋体" w:cs="宋体"/>
          <w:sz w:val="28"/>
          <w:szCs w:val="24"/>
          <w:lang w:val="en-US" w:eastAsia="zh-CN"/>
        </w:rPr>
        <w:t>53232320201027</w:t>
      </w:r>
      <w:r>
        <w:rPr>
          <w:rFonts w:hint="eastAsia" w:ascii="宋体" w:hAnsi="宋体" w:eastAsia="宋体" w:cs="宋体"/>
          <w:sz w:val="28"/>
          <w:szCs w:val="24"/>
          <w:lang w:val="sq-AL"/>
        </w:rPr>
        <w:t>）</w:t>
      </w:r>
      <w:r>
        <w:rPr>
          <w:rFonts w:hint="eastAsia" w:ascii="宋体" w:hAnsi="宋体" w:cs="宋体"/>
          <w:sz w:val="28"/>
          <w:szCs w:val="24"/>
          <w:lang w:val="sq-AL" w:eastAsia="zh-CN"/>
        </w:rPr>
        <w:t>，</w:t>
      </w:r>
      <w:r>
        <w:rPr>
          <w:rFonts w:hint="eastAsia" w:ascii="宋体" w:hAnsi="宋体" w:cs="宋体"/>
          <w:sz w:val="28"/>
          <w:szCs w:val="24"/>
          <w:lang w:val="en-US" w:eastAsia="zh-CN"/>
        </w:rPr>
        <w:t>应急预案目前未从新备案，企业应尽快完成应急预案的修编并重新备案</w:t>
      </w:r>
      <w:r>
        <w:rPr>
          <w:rFonts w:hint="eastAsia" w:ascii="宋体" w:hAnsi="宋体" w:eastAsia="宋体" w:cs="宋体"/>
          <w:sz w:val="28"/>
          <w:szCs w:val="24"/>
          <w:lang w:val="sq-AL"/>
        </w:rPr>
        <w:t>。矿山配备了一定数量的应急救援物资（如：安全帽、</w:t>
      </w:r>
      <w:r>
        <w:rPr>
          <w:rFonts w:hint="eastAsia" w:ascii="宋体" w:hAnsi="宋体" w:eastAsia="宋体" w:cs="宋体"/>
          <w:sz w:val="28"/>
          <w:szCs w:val="28"/>
          <w:lang w:val="sq-AL"/>
        </w:rPr>
        <w:t>安全带、灭火器、铁锹、铁铲、医疗急救箱等），于2023年</w:t>
      </w:r>
      <w:r>
        <w:rPr>
          <w:rFonts w:hint="eastAsia" w:ascii="宋体" w:hAnsi="宋体" w:eastAsia="宋体" w:cs="宋体"/>
          <w:sz w:val="28"/>
          <w:szCs w:val="28"/>
          <w:lang w:val="en-US" w:eastAsia="zh-CN"/>
        </w:rPr>
        <w:t>11</w:t>
      </w:r>
      <w:r>
        <w:rPr>
          <w:rFonts w:hint="eastAsia" w:ascii="宋体" w:hAnsi="宋体" w:eastAsia="宋体" w:cs="宋体"/>
          <w:sz w:val="28"/>
          <w:szCs w:val="28"/>
          <w:lang w:val="sq-AL"/>
        </w:rPr>
        <w:t>月开展</w:t>
      </w:r>
      <w:r>
        <w:rPr>
          <w:rFonts w:hint="eastAsia" w:ascii="宋体" w:hAnsi="宋体" w:eastAsia="宋体" w:cs="宋体"/>
          <w:sz w:val="28"/>
          <w:szCs w:val="28"/>
          <w:lang w:val="sq-AL" w:eastAsia="zh-CN"/>
        </w:rPr>
        <w:t>了</w:t>
      </w:r>
      <w:r>
        <w:rPr>
          <w:rFonts w:hint="eastAsia" w:ascii="宋体" w:hAnsi="宋体" w:eastAsia="宋体" w:cs="宋体"/>
          <w:sz w:val="28"/>
          <w:szCs w:val="28"/>
          <w:lang w:val="en-US" w:eastAsia="zh-CN"/>
        </w:rPr>
        <w:t>火灾</w:t>
      </w:r>
      <w:r>
        <w:rPr>
          <w:rFonts w:hint="eastAsia" w:ascii="宋体" w:hAnsi="宋体" w:eastAsia="宋体" w:cs="宋体"/>
          <w:sz w:val="28"/>
          <w:szCs w:val="28"/>
          <w:lang w:val="sq-AL"/>
        </w:rPr>
        <w:t>应急演练，演练情况见附件</w:t>
      </w:r>
      <w:r>
        <w:rPr>
          <w:rFonts w:hint="eastAsia" w:ascii="宋体" w:hAnsi="宋体" w:eastAsia="宋体" w:cs="宋体"/>
          <w:sz w:val="28"/>
          <w:szCs w:val="28"/>
          <w:lang w:val="en-US" w:eastAsia="zh-CN"/>
        </w:rPr>
        <w:t>13</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6.购买保险</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sq-AL"/>
        </w:rPr>
        <w:t>企业已为从业人员缴纳了工伤保险和安全生产责任险</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见附件14</w:t>
      </w:r>
      <w:r>
        <w:rPr>
          <w:rFonts w:hint="eastAsia" w:ascii="宋体" w:hAnsi="宋体" w:eastAsia="宋体" w:cs="宋体"/>
          <w:sz w:val="28"/>
          <w:szCs w:val="28"/>
          <w:lang w:eastAsia="zh-CN"/>
        </w:rPr>
        <w:t>）</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b/>
          <w:bCs/>
          <w:sz w:val="28"/>
          <w:szCs w:val="28"/>
        </w:rPr>
      </w:pPr>
      <w:bookmarkStart w:id="190" w:name="_Toc16238703"/>
      <w:bookmarkStart w:id="191" w:name="_Toc19933"/>
      <w:r>
        <w:rPr>
          <w:rFonts w:hint="eastAsia" w:ascii="宋体" w:hAnsi="宋体" w:eastAsia="宋体" w:cs="宋体"/>
          <w:b/>
          <w:bCs/>
          <w:sz w:val="28"/>
          <w:szCs w:val="28"/>
          <w:lang w:val="en-US" w:eastAsia="zh-CN"/>
        </w:rPr>
        <w:t>7.</w:t>
      </w:r>
      <w:r>
        <w:rPr>
          <w:rFonts w:hint="eastAsia" w:ascii="宋体" w:hAnsi="宋体" w:eastAsia="宋体" w:cs="宋体"/>
          <w:b/>
          <w:bCs/>
          <w:sz w:val="28"/>
          <w:szCs w:val="28"/>
        </w:rPr>
        <w:t>安全</w:t>
      </w:r>
      <w:bookmarkEnd w:id="187"/>
      <w:bookmarkEnd w:id="188"/>
      <w:bookmarkEnd w:id="189"/>
      <w:bookmarkEnd w:id="190"/>
      <w:r>
        <w:rPr>
          <w:rFonts w:hint="eastAsia" w:ascii="宋体" w:hAnsi="宋体" w:eastAsia="宋体" w:cs="宋体"/>
          <w:b/>
          <w:bCs/>
          <w:sz w:val="28"/>
          <w:szCs w:val="28"/>
        </w:rPr>
        <w:t>生产投入</w:t>
      </w:r>
      <w:bookmarkEnd w:id="191"/>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lang w:val="sq-AL"/>
        </w:rPr>
      </w:pPr>
      <w:r>
        <w:rPr>
          <w:rFonts w:hint="eastAsia" w:ascii="宋体" w:hAnsi="宋体" w:eastAsia="宋体" w:cs="宋体"/>
          <w:sz w:val="28"/>
          <w:szCs w:val="28"/>
        </w:rPr>
        <w:t>矿山应</w:t>
      </w:r>
      <w:r>
        <w:rPr>
          <w:rFonts w:hint="eastAsia" w:ascii="宋体" w:hAnsi="宋体" w:eastAsia="宋体" w:cs="宋体"/>
          <w:sz w:val="28"/>
          <w:szCs w:val="28"/>
          <w:lang w:val="sq-AL"/>
        </w:rPr>
        <w:t>按照《企业安全生产费用提取和使用管理办法》（财</w:t>
      </w:r>
      <w:r>
        <w:rPr>
          <w:rFonts w:hint="eastAsia" w:ascii="宋体" w:hAnsi="宋体" w:eastAsia="宋体" w:cs="宋体"/>
          <w:sz w:val="28"/>
          <w:szCs w:val="28"/>
        </w:rPr>
        <w:t>资</w:t>
      </w:r>
      <w:r>
        <w:rPr>
          <w:rFonts w:hint="eastAsia" w:ascii="宋体" w:hAnsi="宋体" w:eastAsia="宋体" w:cs="宋体"/>
          <w:sz w:val="28"/>
          <w:szCs w:val="28"/>
          <w:lang w:val="sq-AL"/>
        </w:rPr>
        <w:t>〔20</w:t>
      </w:r>
      <w:r>
        <w:rPr>
          <w:rFonts w:hint="eastAsia" w:ascii="宋体" w:hAnsi="宋体" w:eastAsia="宋体" w:cs="宋体"/>
          <w:sz w:val="28"/>
          <w:szCs w:val="28"/>
        </w:rPr>
        <w:t>2</w:t>
      </w:r>
      <w:r>
        <w:rPr>
          <w:rFonts w:hint="eastAsia" w:ascii="宋体" w:hAnsi="宋体" w:eastAsia="宋体" w:cs="宋体"/>
          <w:sz w:val="28"/>
          <w:szCs w:val="28"/>
          <w:lang w:val="sq-AL"/>
        </w:rPr>
        <w:t>2〕1</w:t>
      </w:r>
      <w:r>
        <w:rPr>
          <w:rFonts w:hint="eastAsia" w:ascii="宋体" w:hAnsi="宋体" w:eastAsia="宋体" w:cs="宋体"/>
          <w:sz w:val="28"/>
          <w:szCs w:val="28"/>
        </w:rPr>
        <w:t>3</w:t>
      </w:r>
      <w:r>
        <w:rPr>
          <w:rFonts w:hint="eastAsia" w:ascii="宋体" w:hAnsi="宋体" w:eastAsia="宋体" w:cs="宋体"/>
          <w:sz w:val="28"/>
          <w:szCs w:val="28"/>
          <w:lang w:val="sq-AL"/>
        </w:rPr>
        <w:t>6号）的要求，</w:t>
      </w:r>
      <w:r>
        <w:rPr>
          <w:rFonts w:hint="eastAsia" w:ascii="宋体" w:hAnsi="宋体" w:eastAsia="宋体" w:cs="宋体"/>
          <w:sz w:val="28"/>
          <w:szCs w:val="28"/>
        </w:rPr>
        <w:t>依据当月开采的原矿产量，于月末提取企业安全生产费用</w:t>
      </w:r>
      <w:r>
        <w:rPr>
          <w:rFonts w:hint="eastAsia" w:ascii="宋体" w:hAnsi="宋体" w:eastAsia="宋体" w:cs="宋体"/>
          <w:sz w:val="28"/>
          <w:szCs w:val="28"/>
          <w:lang w:val="sq-AL"/>
        </w:rPr>
        <w:t>，</w:t>
      </w:r>
      <w:r>
        <w:rPr>
          <w:rFonts w:hint="eastAsia" w:ascii="宋体" w:hAnsi="宋体" w:eastAsia="宋体" w:cs="宋体"/>
          <w:sz w:val="28"/>
          <w:szCs w:val="28"/>
        </w:rPr>
        <w:t>提取标准为：2元/吨。</w:t>
      </w:r>
      <w:r>
        <w:rPr>
          <w:rFonts w:hint="eastAsia" w:ascii="宋体" w:hAnsi="宋体" w:eastAsia="宋体" w:cs="宋体"/>
          <w:sz w:val="28"/>
          <w:szCs w:val="28"/>
          <w:lang w:val="sq-AL"/>
        </w:rPr>
        <w:t>安全生产费用使用主要用于以下几方面：</w:t>
      </w:r>
    </w:p>
    <w:p>
      <w:pPr>
        <w:spacing w:line="500" w:lineRule="exact"/>
        <w:ind w:firstLine="560" w:firstLineChars="200"/>
        <w:rPr>
          <w:sz w:val="28"/>
          <w:szCs w:val="24"/>
          <w:lang w:val="sq-AL"/>
        </w:rPr>
      </w:pPr>
      <w:r>
        <w:rPr>
          <w:rFonts w:hint="eastAsia"/>
          <w:sz w:val="28"/>
          <w:szCs w:val="24"/>
          <w:lang w:val="sq-AL" w:eastAsia="zh-CN"/>
        </w:rPr>
        <w:t>（</w:t>
      </w:r>
      <w:r>
        <w:rPr>
          <w:rFonts w:hint="eastAsia"/>
          <w:sz w:val="28"/>
          <w:szCs w:val="24"/>
          <w:lang w:val="en-US" w:eastAsia="zh-CN"/>
        </w:rPr>
        <w:t>1</w:t>
      </w:r>
      <w:r>
        <w:rPr>
          <w:rFonts w:hint="eastAsia"/>
          <w:sz w:val="28"/>
          <w:szCs w:val="24"/>
          <w:lang w:val="sq-AL" w:eastAsia="zh-CN"/>
        </w:rPr>
        <w:t>）</w:t>
      </w:r>
      <w:r>
        <w:rPr>
          <w:rFonts w:hint="eastAsia"/>
          <w:sz w:val="28"/>
          <w:szCs w:val="24"/>
          <w:lang w:val="sq-AL"/>
        </w:rPr>
        <w:t>完善、改造和维护安全防护设施设备</w:t>
      </w:r>
      <w:r>
        <w:rPr>
          <w:rFonts w:hint="eastAsia"/>
          <w:sz w:val="28"/>
          <w:szCs w:val="24"/>
        </w:rPr>
        <w:t>和重大事故隐患治理支出</w:t>
      </w:r>
      <w:r>
        <w:rPr>
          <w:sz w:val="28"/>
          <w:szCs w:val="24"/>
          <w:lang w:val="sq-AL"/>
        </w:rPr>
        <w:t>；</w:t>
      </w:r>
    </w:p>
    <w:p>
      <w:pPr>
        <w:spacing w:line="500" w:lineRule="exact"/>
        <w:ind w:firstLine="560" w:firstLineChars="200"/>
        <w:rPr>
          <w:sz w:val="28"/>
          <w:szCs w:val="24"/>
          <w:lang w:val="sq-AL"/>
        </w:rPr>
      </w:pPr>
      <w:r>
        <w:rPr>
          <w:rFonts w:hint="eastAsia"/>
          <w:sz w:val="28"/>
          <w:szCs w:val="24"/>
          <w:lang w:val="sq-AL" w:eastAsia="zh-CN"/>
        </w:rPr>
        <w:t>（</w:t>
      </w:r>
      <w:r>
        <w:rPr>
          <w:rFonts w:hint="eastAsia"/>
          <w:sz w:val="28"/>
          <w:szCs w:val="24"/>
          <w:lang w:val="en-US" w:eastAsia="zh-CN"/>
        </w:rPr>
        <w:t>2</w:t>
      </w:r>
      <w:r>
        <w:rPr>
          <w:rFonts w:hint="eastAsia"/>
          <w:sz w:val="28"/>
          <w:szCs w:val="24"/>
          <w:lang w:val="sq-AL" w:eastAsia="zh-CN"/>
        </w:rPr>
        <w:t>）</w:t>
      </w:r>
      <w:r>
        <w:rPr>
          <w:rFonts w:hint="eastAsia"/>
          <w:sz w:val="28"/>
          <w:szCs w:val="24"/>
          <w:lang w:val="sq-AL"/>
        </w:rPr>
        <w:t>完善矿山安全避险设施设备支出，应急救援技术装备、设施配置及维护保养支出，事故逃生和紧急避难设施设备的配置和应急救援队伍建设、应急预案制修订与应急演练支出</w:t>
      </w:r>
      <w:r>
        <w:rPr>
          <w:sz w:val="28"/>
          <w:szCs w:val="24"/>
          <w:lang w:val="sq-AL"/>
        </w:rPr>
        <w:t>；</w:t>
      </w:r>
    </w:p>
    <w:p>
      <w:pPr>
        <w:spacing w:line="500" w:lineRule="exact"/>
        <w:ind w:firstLine="560" w:firstLineChars="200"/>
        <w:rPr>
          <w:sz w:val="28"/>
          <w:szCs w:val="24"/>
          <w:lang w:val="sq-AL"/>
        </w:rPr>
      </w:pPr>
      <w:r>
        <w:rPr>
          <w:rFonts w:hint="eastAsia"/>
          <w:sz w:val="28"/>
          <w:szCs w:val="24"/>
          <w:lang w:val="sq-AL" w:eastAsia="zh-CN"/>
        </w:rPr>
        <w:t>（</w:t>
      </w:r>
      <w:r>
        <w:rPr>
          <w:rFonts w:hint="eastAsia"/>
          <w:sz w:val="28"/>
          <w:szCs w:val="24"/>
          <w:lang w:val="en-US" w:eastAsia="zh-CN"/>
        </w:rPr>
        <w:t>3</w:t>
      </w:r>
      <w:r>
        <w:rPr>
          <w:rFonts w:hint="eastAsia"/>
          <w:sz w:val="28"/>
          <w:szCs w:val="24"/>
          <w:lang w:val="sq-AL" w:eastAsia="zh-CN"/>
        </w:rPr>
        <w:t>）</w:t>
      </w:r>
      <w:r>
        <w:rPr>
          <w:rFonts w:hint="eastAsia"/>
          <w:sz w:val="28"/>
          <w:szCs w:val="24"/>
          <w:lang w:val="sq-AL"/>
        </w:rPr>
        <w:t>开展重大危险源检测、评估、监控支出，安全风险分级管控和事故隐患排查整改支出</w:t>
      </w:r>
      <w:r>
        <w:rPr>
          <w:sz w:val="28"/>
          <w:szCs w:val="24"/>
          <w:lang w:val="sq-AL"/>
        </w:rPr>
        <w:t>；</w:t>
      </w:r>
    </w:p>
    <w:p>
      <w:pPr>
        <w:spacing w:line="500" w:lineRule="exact"/>
        <w:ind w:firstLine="560" w:firstLineChars="200"/>
        <w:rPr>
          <w:sz w:val="28"/>
          <w:szCs w:val="24"/>
          <w:lang w:val="sq-AL"/>
        </w:rPr>
      </w:pPr>
      <w:r>
        <w:rPr>
          <w:rFonts w:hint="eastAsia"/>
          <w:sz w:val="28"/>
          <w:szCs w:val="24"/>
          <w:lang w:val="sq-AL" w:eastAsia="zh-CN"/>
        </w:rPr>
        <w:t>（</w:t>
      </w:r>
      <w:r>
        <w:rPr>
          <w:rFonts w:hint="eastAsia"/>
          <w:sz w:val="28"/>
          <w:szCs w:val="24"/>
          <w:lang w:val="en-US" w:eastAsia="zh-CN"/>
        </w:rPr>
        <w:t>4</w:t>
      </w:r>
      <w:r>
        <w:rPr>
          <w:rFonts w:hint="eastAsia"/>
          <w:sz w:val="28"/>
          <w:szCs w:val="24"/>
          <w:lang w:val="sq-AL" w:eastAsia="zh-CN"/>
        </w:rPr>
        <w:t>）</w:t>
      </w:r>
      <w:r>
        <w:rPr>
          <w:rFonts w:hint="eastAsia"/>
          <w:sz w:val="28"/>
          <w:szCs w:val="24"/>
          <w:lang w:val="sq-AL"/>
        </w:rPr>
        <w:t>安全生产检查、评估评价（不含新建、改建、扩建项目安全评价）、咨询、标准化建设支出；</w:t>
      </w:r>
    </w:p>
    <w:p>
      <w:pPr>
        <w:spacing w:line="500" w:lineRule="exact"/>
        <w:ind w:firstLine="560" w:firstLineChars="200"/>
        <w:rPr>
          <w:rFonts w:hint="eastAsia"/>
          <w:sz w:val="28"/>
          <w:szCs w:val="24"/>
          <w:lang w:val="sq-AL"/>
        </w:rPr>
      </w:pPr>
      <w:r>
        <w:rPr>
          <w:rFonts w:hint="eastAsia"/>
          <w:sz w:val="28"/>
          <w:szCs w:val="24"/>
          <w:lang w:val="sq-AL" w:eastAsia="zh-CN"/>
        </w:rPr>
        <w:t>（</w:t>
      </w:r>
      <w:r>
        <w:rPr>
          <w:rFonts w:hint="eastAsia"/>
          <w:sz w:val="28"/>
          <w:szCs w:val="24"/>
          <w:lang w:val="en-US" w:eastAsia="zh-CN"/>
        </w:rPr>
        <w:t>5</w:t>
      </w:r>
      <w:r>
        <w:rPr>
          <w:rFonts w:hint="eastAsia"/>
          <w:sz w:val="28"/>
          <w:szCs w:val="24"/>
          <w:lang w:val="sq-AL" w:eastAsia="zh-CN"/>
        </w:rPr>
        <w:t>）</w:t>
      </w:r>
      <w:r>
        <w:rPr>
          <w:rFonts w:hint="eastAsia"/>
          <w:sz w:val="28"/>
          <w:szCs w:val="24"/>
          <w:lang w:val="sq-AL"/>
        </w:rPr>
        <w:t>配备和更新现场作业人员安全防护用品支出；</w:t>
      </w:r>
    </w:p>
    <w:p>
      <w:pPr>
        <w:spacing w:line="500" w:lineRule="exact"/>
        <w:ind w:firstLine="560" w:firstLineChars="200"/>
        <w:rPr>
          <w:sz w:val="28"/>
          <w:szCs w:val="24"/>
        </w:rPr>
      </w:pPr>
      <w:r>
        <w:rPr>
          <w:rFonts w:hint="eastAsia"/>
          <w:sz w:val="28"/>
          <w:szCs w:val="24"/>
          <w:lang w:val="sq-AL" w:eastAsia="zh-CN"/>
        </w:rPr>
        <w:t>（</w:t>
      </w:r>
      <w:r>
        <w:rPr>
          <w:rFonts w:hint="eastAsia"/>
          <w:sz w:val="28"/>
          <w:szCs w:val="24"/>
          <w:lang w:val="en-US" w:eastAsia="zh-CN"/>
        </w:rPr>
        <w:t>6</w:t>
      </w:r>
      <w:r>
        <w:rPr>
          <w:rFonts w:hint="eastAsia"/>
          <w:sz w:val="28"/>
          <w:szCs w:val="24"/>
          <w:lang w:val="sq-AL" w:eastAsia="zh-CN"/>
        </w:rPr>
        <w:t>）</w:t>
      </w:r>
      <w:r>
        <w:rPr>
          <w:rFonts w:hint="eastAsia"/>
          <w:sz w:val="28"/>
          <w:szCs w:val="24"/>
        </w:rPr>
        <w:t>安全生产宣传、教育、培训和从业人员发现并报告事故隐患的奖励支出；</w:t>
      </w:r>
    </w:p>
    <w:p>
      <w:pPr>
        <w:spacing w:line="500" w:lineRule="exact"/>
        <w:ind w:firstLine="560" w:firstLineChars="200"/>
        <w:rPr>
          <w:sz w:val="28"/>
          <w:szCs w:val="24"/>
        </w:rPr>
      </w:pPr>
      <w:r>
        <w:rPr>
          <w:rFonts w:hint="eastAsia"/>
          <w:sz w:val="28"/>
          <w:szCs w:val="24"/>
          <w:lang w:val="sq-AL" w:eastAsia="zh-CN"/>
        </w:rPr>
        <w:t>（</w:t>
      </w:r>
      <w:r>
        <w:rPr>
          <w:rFonts w:hint="eastAsia"/>
          <w:sz w:val="28"/>
          <w:szCs w:val="24"/>
          <w:lang w:val="en-US" w:eastAsia="zh-CN"/>
        </w:rPr>
        <w:t>7</w:t>
      </w:r>
      <w:r>
        <w:rPr>
          <w:rFonts w:hint="eastAsia"/>
          <w:sz w:val="28"/>
          <w:szCs w:val="24"/>
          <w:lang w:val="sq-AL" w:eastAsia="zh-CN"/>
        </w:rPr>
        <w:t>）</w:t>
      </w:r>
      <w:r>
        <w:rPr>
          <w:rFonts w:hint="eastAsia"/>
          <w:sz w:val="28"/>
          <w:szCs w:val="24"/>
        </w:rPr>
        <w:t>安全生产责任保险支出；</w:t>
      </w:r>
    </w:p>
    <w:p>
      <w:pPr>
        <w:spacing w:line="500" w:lineRule="exact"/>
        <w:ind w:firstLine="560" w:firstLineChars="200"/>
        <w:rPr>
          <w:sz w:val="28"/>
          <w:szCs w:val="24"/>
        </w:rPr>
      </w:pPr>
      <w:r>
        <w:rPr>
          <w:rFonts w:hint="eastAsia"/>
          <w:sz w:val="28"/>
          <w:szCs w:val="24"/>
          <w:lang w:val="sq-AL" w:eastAsia="zh-CN"/>
        </w:rPr>
        <w:t>（</w:t>
      </w:r>
      <w:r>
        <w:rPr>
          <w:rFonts w:hint="eastAsia"/>
          <w:sz w:val="28"/>
          <w:szCs w:val="24"/>
          <w:lang w:val="en-US" w:eastAsia="zh-CN"/>
        </w:rPr>
        <w:t>8</w:t>
      </w:r>
      <w:r>
        <w:rPr>
          <w:rFonts w:hint="eastAsia"/>
          <w:sz w:val="28"/>
          <w:szCs w:val="24"/>
          <w:lang w:val="sq-AL" w:eastAsia="zh-CN"/>
        </w:rPr>
        <w:t>）</w:t>
      </w:r>
      <w:r>
        <w:rPr>
          <w:rFonts w:hint="eastAsia"/>
          <w:sz w:val="28"/>
          <w:szCs w:val="24"/>
        </w:rPr>
        <w:t>与安全生产直接相关的其他支出。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b/>
          <w:bCs/>
          <w:sz w:val="28"/>
          <w:szCs w:val="28"/>
          <w:lang w:val="en-US" w:eastAsia="zh-CN"/>
        </w:rPr>
      </w:pPr>
      <w:r>
        <w:rPr>
          <w:rFonts w:hint="eastAsia" w:ascii="宋体" w:hAnsi="宋体" w:cs="宋体"/>
          <w:b/>
          <w:bCs/>
          <w:sz w:val="28"/>
          <w:szCs w:val="28"/>
          <w:lang w:val="en-US" w:eastAsia="zh-CN"/>
        </w:rPr>
        <w:t>8</w:t>
      </w:r>
      <w:r>
        <w:rPr>
          <w:rFonts w:hint="eastAsia" w:ascii="宋体" w:hAnsi="宋体" w:eastAsia="宋体" w:cs="宋体"/>
          <w:b/>
          <w:bCs/>
          <w:sz w:val="28"/>
          <w:szCs w:val="28"/>
          <w:lang w:val="en-US" w:eastAsia="zh-CN"/>
        </w:rPr>
        <w:t>.</w:t>
      </w:r>
      <w:r>
        <w:rPr>
          <w:rFonts w:hint="eastAsia" w:ascii="宋体" w:hAnsi="宋体" w:cs="宋体"/>
          <w:b/>
          <w:bCs/>
          <w:sz w:val="28"/>
          <w:szCs w:val="28"/>
          <w:lang w:val="en-US" w:eastAsia="zh-CN"/>
        </w:rPr>
        <w:t>安全标准化建设情况</w:t>
      </w:r>
    </w:p>
    <w:p>
      <w:pPr>
        <w:pStyle w:val="3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00" w:lineRule="exact"/>
        <w:ind w:right="0" w:firstLine="560" w:firstLineChars="200"/>
        <w:textAlignment w:val="auto"/>
        <w:rPr>
          <w:rFonts w:hint="default" w:ascii="宋体" w:hAnsi="宋体" w:eastAsia="宋体" w:cs="宋体"/>
          <w:b w:val="0"/>
          <w:bCs w:val="0"/>
          <w:color w:val="auto"/>
          <w:kern w:val="2"/>
          <w:sz w:val="28"/>
          <w:szCs w:val="28"/>
          <w:lang w:val="en-US" w:eastAsia="zh-CN" w:bidi="ar-SA"/>
        </w:rPr>
      </w:pPr>
      <w:r>
        <w:rPr>
          <w:rFonts w:hint="eastAsia" w:cs="宋体"/>
          <w:b w:val="0"/>
          <w:bCs w:val="0"/>
          <w:color w:val="auto"/>
          <w:kern w:val="2"/>
          <w:sz w:val="28"/>
          <w:szCs w:val="28"/>
          <w:lang w:val="en-US" w:eastAsia="zh-CN" w:bidi="ar-SA"/>
        </w:rPr>
        <w:t>2022年3月7日取得楚雄州应急管理局颁发的安全生产标准化证书（有限期2025年03月）。</w:t>
      </w: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wordWrap/>
        <w:topLinePunct w:val="0"/>
        <w:bidi w:val="0"/>
        <w:spacing w:before="0" w:beforeAutospacing="0" w:after="0" w:afterAutospacing="0" w:line="300" w:lineRule="atLeast"/>
        <w:ind w:right="0" w:firstLine="560" w:firstLineChars="200"/>
        <w:textAlignment w:val="auto"/>
        <w:rPr>
          <w:rFonts w:hint="eastAsia" w:ascii="宋体" w:hAnsi="宋体" w:eastAsia="宋体" w:cs="宋体"/>
          <w:b w:val="0"/>
          <w:bCs w:val="0"/>
          <w:color w:val="auto"/>
          <w:kern w:val="2"/>
          <w:sz w:val="28"/>
          <w:szCs w:val="28"/>
          <w:lang w:val="en-US" w:eastAsia="zh-CN" w:bidi="ar-SA"/>
        </w:rPr>
      </w:pP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wordWrap/>
        <w:topLinePunct w:val="0"/>
        <w:bidi w:val="0"/>
        <w:spacing w:before="0" w:beforeAutospacing="0" w:after="0" w:afterAutospacing="0" w:line="300" w:lineRule="atLeast"/>
        <w:ind w:right="0" w:firstLine="560" w:firstLineChars="200"/>
        <w:textAlignment w:val="auto"/>
        <w:rPr>
          <w:rFonts w:hint="eastAsia" w:ascii="宋体" w:hAnsi="宋体" w:eastAsia="宋体" w:cs="宋体"/>
          <w:b w:val="0"/>
          <w:bCs w:val="0"/>
          <w:color w:val="auto"/>
          <w:kern w:val="2"/>
          <w:sz w:val="28"/>
          <w:szCs w:val="28"/>
          <w:lang w:val="en-US" w:eastAsia="zh-CN" w:bidi="ar-SA"/>
        </w:rPr>
      </w:pP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wordWrap/>
        <w:topLinePunct w:val="0"/>
        <w:bidi w:val="0"/>
        <w:spacing w:before="0" w:beforeAutospacing="0" w:after="0" w:afterAutospacing="0" w:line="300" w:lineRule="atLeast"/>
        <w:ind w:right="0" w:firstLine="560" w:firstLineChars="200"/>
        <w:textAlignment w:val="auto"/>
        <w:rPr>
          <w:rFonts w:hint="eastAsia" w:ascii="宋体" w:hAnsi="宋体" w:eastAsia="宋体" w:cs="宋体"/>
          <w:b w:val="0"/>
          <w:bCs w:val="0"/>
          <w:color w:val="auto"/>
          <w:kern w:val="2"/>
          <w:sz w:val="28"/>
          <w:szCs w:val="28"/>
          <w:lang w:val="en-US" w:eastAsia="zh-CN" w:bidi="ar-SA"/>
        </w:rPr>
      </w:pPr>
    </w:p>
    <w:p>
      <w:pPr>
        <w:pStyle w:val="3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wordWrap/>
        <w:topLinePunct w:val="0"/>
        <w:bidi w:val="0"/>
        <w:spacing w:before="0" w:beforeAutospacing="0" w:after="0" w:afterAutospacing="0" w:line="300" w:lineRule="atLeast"/>
        <w:ind w:right="0" w:firstLine="560" w:firstLineChars="200"/>
        <w:textAlignment w:val="auto"/>
        <w:rPr>
          <w:rFonts w:hint="eastAsia" w:ascii="宋体" w:hAnsi="宋体" w:eastAsia="宋体" w:cs="宋体"/>
          <w:b w:val="0"/>
          <w:bCs w:val="0"/>
          <w:color w:val="auto"/>
          <w:kern w:val="2"/>
          <w:sz w:val="28"/>
          <w:szCs w:val="28"/>
          <w:lang w:val="en-US" w:eastAsia="zh-CN" w:bidi="ar-SA"/>
        </w:rPr>
      </w:pPr>
    </w:p>
    <w:bookmarkEnd w:id="180"/>
    <w:p>
      <w:pPr>
        <w:wordWrap/>
        <w:topLinePunct w:val="0"/>
        <w:bidi w:val="0"/>
        <w:spacing w:line="500" w:lineRule="exact"/>
        <w:ind w:firstLine="560" w:firstLineChars="200"/>
        <w:textAlignment w:val="auto"/>
        <w:rPr>
          <w:rFonts w:hint="default" w:ascii="宋体" w:hAnsi="宋体" w:eastAsia="宋体" w:cs="宋体"/>
          <w:b w:val="0"/>
          <w:bCs w:val="0"/>
          <w:color w:val="auto"/>
          <w:kern w:val="2"/>
          <w:sz w:val="28"/>
          <w:szCs w:val="28"/>
          <w:lang w:val="en-US" w:eastAsia="zh-CN" w:bidi="ar-SA"/>
        </w:rPr>
        <w:sectPr>
          <w:footerReference r:id="rId7" w:type="default"/>
          <w:pgSz w:w="11907" w:h="16840"/>
          <w:pgMar w:top="1417" w:right="1417" w:bottom="1417" w:left="1417" w:header="964" w:footer="964" w:gutter="0"/>
          <w:pgNumType w:fmt="decimal"/>
          <w:cols w:space="720" w:num="1"/>
          <w:docGrid w:type="linesAndChars" w:linePitch="317" w:charSpace="0"/>
        </w:sectPr>
      </w:pPr>
      <w:bookmarkStart w:id="192" w:name="_Toc502865194"/>
      <w:bookmarkStart w:id="193" w:name="_Toc467792790"/>
    </w:p>
    <w:p>
      <w:pPr>
        <w:pStyle w:val="5"/>
        <w:widowControl w:val="0"/>
        <w:wordWrap/>
        <w:topLinePunct w:val="0"/>
        <w:bidi w:val="0"/>
        <w:spacing w:before="12" w:after="0" w:line="500" w:lineRule="exact"/>
        <w:ind w:firstLine="560" w:firstLineChars="200"/>
        <w:textAlignment w:val="auto"/>
        <w:rPr>
          <w:rFonts w:hint="eastAsia" w:ascii="宋体" w:hAnsi="宋体"/>
          <w:color w:val="auto"/>
          <w:kern w:val="2"/>
          <w:sz w:val="28"/>
          <w:szCs w:val="28"/>
          <w:highlight w:val="none"/>
          <w:lang w:eastAsia="zh-CN" w:bidi="ar-SA"/>
        </w:rPr>
      </w:pPr>
      <w:bookmarkStart w:id="194" w:name="_Toc25849"/>
      <w:r>
        <w:rPr>
          <w:rFonts w:hint="eastAsia" w:ascii="宋体" w:hAnsi="宋体"/>
          <w:color w:val="auto"/>
          <w:kern w:val="2"/>
          <w:sz w:val="28"/>
          <w:szCs w:val="28"/>
          <w:highlight w:val="none"/>
          <w:lang w:eastAsia="zh-CN" w:bidi="ar-SA"/>
        </w:rPr>
        <w:t>2.4.1</w:t>
      </w:r>
      <w:r>
        <w:rPr>
          <w:rFonts w:hint="eastAsia" w:ascii="宋体" w:hAnsi="宋体"/>
          <w:color w:val="auto"/>
          <w:kern w:val="2"/>
          <w:sz w:val="28"/>
          <w:szCs w:val="28"/>
          <w:highlight w:val="none"/>
          <w:lang w:val="en-US" w:eastAsia="zh-CN" w:bidi="ar-SA"/>
        </w:rPr>
        <w:t>5</w:t>
      </w:r>
      <w:r>
        <w:rPr>
          <w:rFonts w:hint="eastAsia" w:ascii="宋体" w:hAnsi="宋体"/>
          <w:color w:val="auto"/>
          <w:kern w:val="2"/>
          <w:sz w:val="28"/>
          <w:szCs w:val="28"/>
          <w:highlight w:val="none"/>
          <w:lang w:eastAsia="zh-CN" w:bidi="ar-SA"/>
        </w:rPr>
        <w:t>现场踏勘照片</w:t>
      </w:r>
      <w:bookmarkEnd w:id="194"/>
    </w:p>
    <w:tbl>
      <w:tblPr>
        <w:tblStyle w:val="35"/>
        <w:tblW w:w="91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09"/>
        <w:gridCol w:w="125"/>
        <w:gridCol w:w="4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4" w:hRule="atLeast"/>
          <w:jc w:val="center"/>
        </w:trPr>
        <w:tc>
          <w:tcPr>
            <w:tcW w:w="9126" w:type="dxa"/>
            <w:gridSpan w:val="3"/>
            <w:noWrap w:val="0"/>
            <w:vAlign w:val="center"/>
          </w:tcPr>
          <w:p>
            <w:pPr>
              <w:wordWrap/>
              <w:topLinePunct w:val="0"/>
              <w:bidi w:val="0"/>
              <w:spacing w:line="240" w:lineRule="atLeast"/>
              <w:jc w:val="both"/>
              <w:textAlignment w:val="auto"/>
              <w:rPr>
                <w:rFonts w:hint="eastAsia" w:ascii="宋体" w:hAnsi="宋体" w:eastAsia="宋体" w:cs="宋体"/>
                <w:color w:val="auto"/>
                <w:sz w:val="28"/>
                <w:szCs w:val="28"/>
                <w:lang w:eastAsia="zh-CN"/>
              </w:rPr>
            </w:pPr>
            <w:bookmarkStart w:id="195" w:name="_Toc4826"/>
            <w:r>
              <w:rPr>
                <w:rFonts w:hint="eastAsia" w:ascii="宋体" w:hAnsi="宋体" w:eastAsia="宋体" w:cs="Times New Roman"/>
                <w:b/>
                <w:color w:val="auto"/>
                <w:sz w:val="24"/>
              </w:rPr>
              <w:drawing>
                <wp:inline distT="0" distB="0" distL="114300" distR="114300">
                  <wp:extent cx="5760720" cy="3240405"/>
                  <wp:effectExtent l="0" t="0" r="0" b="5715"/>
                  <wp:docPr id="38" name="图片 38" descr="7ccfb5b2bdd9b56afdf7175f765dd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7ccfb5b2bdd9b56afdf7175f765ddb3"/>
                          <pic:cNvPicPr>
                            <a:picLocks noChangeAspect="1"/>
                          </pic:cNvPicPr>
                        </pic:nvPicPr>
                        <pic:blipFill>
                          <a:blip r:embed="rId13"/>
                          <a:stretch>
                            <a:fillRect/>
                          </a:stretch>
                        </pic:blipFill>
                        <pic:spPr>
                          <a:xfrm>
                            <a:off x="0" y="0"/>
                            <a:ext cx="5760720" cy="3240405"/>
                          </a:xfrm>
                          <a:prstGeom prst="rect">
                            <a:avLst/>
                          </a:prstGeom>
                        </pic:spPr>
                      </pic:pic>
                    </a:graphicData>
                  </a:graphic>
                </wp:inline>
              </w:drawing>
            </w:r>
            <w:r>
              <w:rPr>
                <w:rFonts w:hint="eastAsia" w:ascii="宋体" w:hAnsi="宋体" w:eastAsia="宋体" w:cs="Times New Roman"/>
                <w:color w:val="auto"/>
                <w:sz w:val="28"/>
                <w:szCs w:val="28"/>
                <w:lang w:val="en-US" w:eastAsia="zh-CN"/>
              </w:rPr>
              <w:drawing>
                <wp:anchor distT="0" distB="0" distL="114300" distR="114300" simplePos="0" relativeHeight="251672576" behindDoc="1" locked="0" layoutInCell="1" allowOverlap="1">
                  <wp:simplePos x="0" y="0"/>
                  <wp:positionH relativeFrom="column">
                    <wp:posOffset>-27305</wp:posOffset>
                  </wp:positionH>
                  <wp:positionV relativeFrom="paragraph">
                    <wp:posOffset>105410</wp:posOffset>
                  </wp:positionV>
                  <wp:extent cx="5715000" cy="3253105"/>
                  <wp:effectExtent l="0" t="0" r="0" b="8255"/>
                  <wp:wrapTight wrapText="bothSides">
                    <wp:wrapPolygon>
                      <wp:start x="0" y="0"/>
                      <wp:lineTo x="0" y="21452"/>
                      <wp:lineTo x="21542" y="21452"/>
                      <wp:lineTo x="21542" y="0"/>
                      <wp:lineTo x="0" y="0"/>
                    </wp:wrapPolygon>
                  </wp:wrapTight>
                  <wp:docPr id="36" name="图片 36" descr="c4380d1968316005ec93ce8a0794f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c4380d1968316005ec93ce8a0794fa3"/>
                          <pic:cNvPicPr>
                            <a:picLocks noChangeAspect="1"/>
                          </pic:cNvPicPr>
                        </pic:nvPicPr>
                        <pic:blipFill>
                          <a:blip r:embed="rId14"/>
                          <a:stretch>
                            <a:fillRect/>
                          </a:stretch>
                        </pic:blipFill>
                        <pic:spPr>
                          <a:xfrm>
                            <a:off x="0" y="0"/>
                            <a:ext cx="5715000" cy="3253105"/>
                          </a:xfrm>
                          <a:prstGeom prst="rect">
                            <a:avLst/>
                          </a:prstGeom>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26" w:type="dxa"/>
            <w:gridSpan w:val="3"/>
            <w:noWrap w:val="0"/>
            <w:vAlign w:val="center"/>
          </w:tcPr>
          <w:p>
            <w:pPr>
              <w:wordWrap/>
              <w:topLinePunct w:val="0"/>
              <w:bidi w:val="0"/>
              <w:spacing w:line="240" w:lineRule="atLeast"/>
              <w:jc w:val="center"/>
              <w:textAlignment w:val="auto"/>
              <w:rPr>
                <w:rFonts w:hint="default" w:ascii="宋体" w:hAnsi="宋体" w:eastAsia="宋体" w:cs="宋体"/>
                <w:color w:val="auto"/>
                <w:sz w:val="28"/>
                <w:szCs w:val="28"/>
                <w:lang w:val="en-US" w:eastAsia="zh-CN"/>
              </w:rPr>
            </w:pPr>
            <w:r>
              <w:rPr>
                <w:rFonts w:hint="eastAsia" w:ascii="宋体" w:hAnsi="宋体" w:cs="宋体"/>
                <w:color w:val="auto"/>
                <w:sz w:val="28"/>
                <w:szCs w:val="28"/>
                <w:lang w:val="en-US" w:eastAsia="zh-CN"/>
              </w:rPr>
              <w:t xml:space="preserve">图 2-5 </w:t>
            </w:r>
            <w:r>
              <w:rPr>
                <w:rFonts w:hint="eastAsia" w:ascii="宋体" w:hAnsi="宋体" w:eastAsia="宋体" w:cs="宋体"/>
                <w:color w:val="auto"/>
                <w:sz w:val="28"/>
                <w:szCs w:val="28"/>
                <w:lang w:val="en-US" w:eastAsia="zh-CN"/>
              </w:rPr>
              <w:t>矿山现状图</w:t>
            </w:r>
          </w:p>
        </w:tc>
      </w:tr>
      <w:bookmarkEnd w:id="192"/>
      <w:bookmarkEnd w:id="19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4609" w:type="dxa"/>
            <w:noWrap w:val="0"/>
            <w:vAlign w:val="center"/>
          </w:tcPr>
          <w:p>
            <w:pPr>
              <w:wordWrap/>
              <w:topLinePunct w:val="0"/>
              <w:bidi w:val="0"/>
              <w:spacing w:line="240" w:lineRule="atLeast"/>
              <w:jc w:val="both"/>
              <w:textAlignment w:val="auto"/>
              <w:rPr>
                <w:rFonts w:hint="eastAsia" w:ascii="宋体" w:hAnsi="宋体" w:eastAsia="宋体" w:cs="宋体"/>
                <w:color w:val="auto"/>
                <w:sz w:val="28"/>
                <w:szCs w:val="28"/>
                <w:lang w:eastAsia="zh-CN"/>
              </w:rPr>
            </w:pPr>
            <w:r>
              <w:rPr>
                <w:rFonts w:hint="eastAsia" w:ascii="Times New Roman" w:hAnsi="Times New Roman" w:eastAsia="宋体" w:cs="Times New Roman"/>
                <w:bCs/>
                <w:sz w:val="28"/>
                <w:lang w:eastAsia="zh-CN"/>
              </w:rPr>
              <w:drawing>
                <wp:inline distT="0" distB="0" distL="114300" distR="114300">
                  <wp:extent cx="2766695" cy="1953895"/>
                  <wp:effectExtent l="0" t="0" r="6985" b="12065"/>
                  <wp:docPr id="40" name="图片 6" descr="IMG_20240126_143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6" descr="IMG_20240126_143424"/>
                          <pic:cNvPicPr>
                            <a:picLocks noChangeAspect="1"/>
                          </pic:cNvPicPr>
                        </pic:nvPicPr>
                        <pic:blipFill>
                          <a:blip r:embed="rId15"/>
                          <a:stretch>
                            <a:fillRect/>
                          </a:stretch>
                        </pic:blipFill>
                        <pic:spPr>
                          <a:xfrm>
                            <a:off x="0" y="0"/>
                            <a:ext cx="2766695" cy="1953895"/>
                          </a:xfrm>
                          <a:prstGeom prst="rect">
                            <a:avLst/>
                          </a:prstGeom>
                          <a:noFill/>
                          <a:ln>
                            <a:noFill/>
                          </a:ln>
                        </pic:spPr>
                      </pic:pic>
                    </a:graphicData>
                  </a:graphic>
                </wp:inline>
              </w:drawing>
            </w:r>
          </w:p>
        </w:tc>
        <w:tc>
          <w:tcPr>
            <w:tcW w:w="4517" w:type="dxa"/>
            <w:gridSpan w:val="2"/>
            <w:noWrap w:val="0"/>
            <w:vAlign w:val="center"/>
          </w:tcPr>
          <w:p>
            <w:pPr>
              <w:wordWrap/>
              <w:topLinePunct w:val="0"/>
              <w:bidi w:val="0"/>
              <w:spacing w:line="240" w:lineRule="atLeast"/>
              <w:jc w:val="center"/>
              <w:textAlignment w:val="auto"/>
              <w:rPr>
                <w:rFonts w:hint="eastAsia" w:ascii="宋体" w:hAnsi="宋体" w:eastAsia="宋体" w:cs="宋体"/>
                <w:color w:val="auto"/>
                <w:sz w:val="28"/>
                <w:szCs w:val="28"/>
                <w:lang w:eastAsia="zh-CN"/>
              </w:rPr>
            </w:pPr>
            <w:r>
              <w:rPr>
                <w:rFonts w:hint="eastAsia" w:ascii="Times New Roman" w:hAnsi="Times New Roman" w:eastAsia="宋体" w:cs="Times New Roman"/>
                <w:bCs/>
                <w:sz w:val="28"/>
                <w:lang w:eastAsia="zh-CN"/>
              </w:rPr>
              <w:drawing>
                <wp:inline distT="0" distB="0" distL="114300" distR="114300">
                  <wp:extent cx="2572385" cy="1929130"/>
                  <wp:effectExtent l="0" t="0" r="3175" b="6350"/>
                  <wp:docPr id="39" name="图片 5" descr="IMG_20240402_132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5" descr="IMG_20240402_132809"/>
                          <pic:cNvPicPr>
                            <a:picLocks noChangeAspect="1"/>
                          </pic:cNvPicPr>
                        </pic:nvPicPr>
                        <pic:blipFill>
                          <a:blip r:embed="rId16"/>
                          <a:stretch>
                            <a:fillRect/>
                          </a:stretch>
                        </pic:blipFill>
                        <pic:spPr>
                          <a:xfrm>
                            <a:off x="0" y="0"/>
                            <a:ext cx="2572385" cy="192913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9126" w:type="dxa"/>
            <w:gridSpan w:val="3"/>
            <w:noWrap w:val="0"/>
            <w:vAlign w:val="center"/>
          </w:tcPr>
          <w:p>
            <w:pPr>
              <w:wordWrap/>
              <w:topLinePunct w:val="0"/>
              <w:bidi w:val="0"/>
              <w:spacing w:line="240" w:lineRule="atLeast"/>
              <w:jc w:val="center"/>
              <w:textAlignment w:val="auto"/>
              <w:rPr>
                <w:rFonts w:hint="eastAsia" w:ascii="宋体" w:hAnsi="宋体" w:eastAsia="宋体" w:cs="宋体"/>
                <w:color w:val="auto"/>
                <w:sz w:val="28"/>
                <w:szCs w:val="28"/>
                <w:lang w:val="en-US" w:eastAsia="zh-CN"/>
              </w:rPr>
            </w:pPr>
            <w:r>
              <w:rPr>
                <w:rFonts w:hint="eastAsia" w:ascii="宋体" w:hAnsi="宋体" w:cs="宋体"/>
                <w:color w:val="auto"/>
                <w:sz w:val="28"/>
                <w:szCs w:val="28"/>
                <w:lang w:val="en-US" w:eastAsia="zh-CN"/>
              </w:rPr>
              <w:t xml:space="preserve">图 2-6 </w:t>
            </w:r>
            <w:r>
              <w:rPr>
                <w:rFonts w:hint="eastAsia" w:ascii="宋体" w:hAnsi="宋体" w:eastAsia="宋体" w:cs="宋体"/>
                <w:color w:val="auto"/>
                <w:sz w:val="28"/>
                <w:szCs w:val="28"/>
                <w:highlight w:val="none"/>
                <w:lang w:val="en-US" w:eastAsia="zh-CN"/>
              </w:rPr>
              <w:t>矿山铲装运输设备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3" w:hRule="atLeast"/>
          <w:jc w:val="center"/>
        </w:trPr>
        <w:tc>
          <w:tcPr>
            <w:tcW w:w="4734" w:type="dxa"/>
            <w:gridSpan w:val="2"/>
            <w:noWrap w:val="0"/>
            <w:vAlign w:val="center"/>
          </w:tcPr>
          <w:p>
            <w:pPr>
              <w:wordWrap/>
              <w:topLinePunct w:val="0"/>
              <w:bidi w:val="0"/>
              <w:spacing w:line="360" w:lineRule="auto"/>
              <w:jc w:val="center"/>
              <w:textAlignment w:val="auto"/>
              <w:rPr>
                <w:rFonts w:hint="eastAsia" w:ascii="宋体" w:hAnsi="宋体" w:eastAsia="宋体" w:cs="宋体"/>
                <w:color w:val="auto"/>
                <w:sz w:val="28"/>
                <w:szCs w:val="28"/>
                <w:lang w:eastAsia="zh-CN"/>
              </w:rPr>
            </w:pPr>
            <w:r>
              <w:rPr>
                <w:rFonts w:hint="eastAsia" w:ascii="Times New Roman" w:hAnsi="Times New Roman" w:eastAsia="宋体" w:cs="Times New Roman"/>
                <w:bCs/>
                <w:sz w:val="28"/>
                <w:lang w:eastAsia="zh-CN"/>
              </w:rPr>
              <w:drawing>
                <wp:inline distT="0" distB="0" distL="114300" distR="114300">
                  <wp:extent cx="2665730" cy="1998345"/>
                  <wp:effectExtent l="0" t="0" r="1270" b="13335"/>
                  <wp:docPr id="41" name="图片 7" descr="IMG_20240126_143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7" descr="IMG_20240126_143352"/>
                          <pic:cNvPicPr>
                            <a:picLocks noChangeAspect="1"/>
                          </pic:cNvPicPr>
                        </pic:nvPicPr>
                        <pic:blipFill>
                          <a:blip r:embed="rId17"/>
                          <a:stretch>
                            <a:fillRect/>
                          </a:stretch>
                        </pic:blipFill>
                        <pic:spPr>
                          <a:xfrm>
                            <a:off x="0" y="0"/>
                            <a:ext cx="2665730" cy="1998345"/>
                          </a:xfrm>
                          <a:prstGeom prst="rect">
                            <a:avLst/>
                          </a:prstGeom>
                          <a:noFill/>
                          <a:ln>
                            <a:noFill/>
                          </a:ln>
                        </pic:spPr>
                      </pic:pic>
                    </a:graphicData>
                  </a:graphic>
                </wp:inline>
              </w:drawing>
            </w:r>
          </w:p>
        </w:tc>
        <w:tc>
          <w:tcPr>
            <w:tcW w:w="4392" w:type="dxa"/>
            <w:noWrap w:val="0"/>
            <w:vAlign w:val="center"/>
          </w:tcPr>
          <w:p>
            <w:pPr>
              <w:wordWrap/>
              <w:topLinePunct w:val="0"/>
              <w:bidi w:val="0"/>
              <w:spacing w:line="360" w:lineRule="auto"/>
              <w:jc w:val="both"/>
              <w:textAlignment w:val="auto"/>
              <w:rPr>
                <w:rFonts w:hint="eastAsia" w:ascii="宋体" w:hAnsi="宋体" w:eastAsia="宋体" w:cs="宋体"/>
                <w:color w:val="auto"/>
                <w:sz w:val="28"/>
                <w:szCs w:val="28"/>
                <w:lang w:eastAsia="zh-CN"/>
              </w:rPr>
            </w:pPr>
            <w:r>
              <w:rPr>
                <w:rFonts w:hint="eastAsia" w:ascii="Times New Roman" w:hAnsi="Times New Roman" w:eastAsia="宋体" w:cs="Times New Roman"/>
                <w:bCs/>
                <w:sz w:val="28"/>
                <w:lang w:eastAsia="zh-CN"/>
              </w:rPr>
              <w:drawing>
                <wp:inline distT="0" distB="0" distL="114300" distR="114300">
                  <wp:extent cx="2734310" cy="2049780"/>
                  <wp:effectExtent l="0" t="0" r="8890" b="7620"/>
                  <wp:docPr id="42" name="图片 8" descr="IMG_20240402_143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8" descr="IMG_20240402_143023"/>
                          <pic:cNvPicPr>
                            <a:picLocks noChangeAspect="1"/>
                          </pic:cNvPicPr>
                        </pic:nvPicPr>
                        <pic:blipFill>
                          <a:blip r:embed="rId18"/>
                          <a:stretch>
                            <a:fillRect/>
                          </a:stretch>
                        </pic:blipFill>
                        <pic:spPr>
                          <a:xfrm>
                            <a:off x="0" y="0"/>
                            <a:ext cx="2734310" cy="204978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4734" w:type="dxa"/>
            <w:gridSpan w:val="2"/>
            <w:noWrap w:val="0"/>
            <w:vAlign w:val="center"/>
          </w:tcPr>
          <w:p>
            <w:pPr>
              <w:wordWrap/>
              <w:topLinePunct w:val="0"/>
              <w:bidi w:val="0"/>
              <w:spacing w:line="360" w:lineRule="auto"/>
              <w:jc w:val="center"/>
              <w:textAlignment w:val="auto"/>
              <w:rPr>
                <w:rFonts w:hint="default" w:ascii="Times New Roman" w:hAnsi="Times New Roman" w:eastAsia="宋体" w:cs="Times New Roman"/>
                <w:bCs/>
                <w:sz w:val="28"/>
                <w:lang w:val="en-US" w:eastAsia="zh-CN"/>
              </w:rPr>
            </w:pPr>
            <w:r>
              <w:rPr>
                <w:rFonts w:hint="eastAsia" w:ascii="宋体" w:hAnsi="宋体" w:eastAsia="宋体" w:cs="宋体"/>
                <w:color w:val="auto"/>
                <w:sz w:val="28"/>
                <w:szCs w:val="28"/>
                <w:highlight w:val="none"/>
                <w:lang w:val="en-US" w:eastAsia="zh-CN"/>
              </w:rPr>
              <w:t>运输汽车</w:t>
            </w:r>
          </w:p>
        </w:tc>
        <w:tc>
          <w:tcPr>
            <w:tcW w:w="4392" w:type="dxa"/>
            <w:noWrap w:val="0"/>
            <w:vAlign w:val="center"/>
          </w:tcPr>
          <w:p>
            <w:pPr>
              <w:wordWrap/>
              <w:topLinePunct w:val="0"/>
              <w:bidi w:val="0"/>
              <w:spacing w:line="360" w:lineRule="auto"/>
              <w:jc w:val="center"/>
              <w:textAlignment w:val="auto"/>
              <w:rPr>
                <w:rFonts w:hint="eastAsia" w:ascii="宋体" w:hAnsi="宋体" w:eastAsia="宋体" w:cs="宋体"/>
                <w:color w:val="auto"/>
                <w:sz w:val="28"/>
                <w:szCs w:val="28"/>
                <w:lang w:eastAsia="zh-CN"/>
              </w:rPr>
            </w:pPr>
            <w:r>
              <w:rPr>
                <w:rFonts w:hint="eastAsia" w:ascii="宋体" w:hAnsi="宋体" w:eastAsia="宋体" w:cs="宋体"/>
                <w:color w:val="auto"/>
                <w:kern w:val="2"/>
                <w:sz w:val="28"/>
                <w:szCs w:val="28"/>
                <w:lang w:val="en-US" w:eastAsia="zh-CN" w:bidi="ar-SA"/>
              </w:rPr>
              <w:t>运输道路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6" w:hRule="atLeast"/>
          <w:jc w:val="center"/>
        </w:trPr>
        <w:tc>
          <w:tcPr>
            <w:tcW w:w="9126" w:type="dxa"/>
            <w:gridSpan w:val="3"/>
            <w:noWrap w:val="0"/>
            <w:vAlign w:val="center"/>
          </w:tcPr>
          <w:p>
            <w:pPr>
              <w:wordWrap/>
              <w:topLinePunct w:val="0"/>
              <w:bidi w:val="0"/>
              <w:spacing w:line="360" w:lineRule="auto"/>
              <w:jc w:val="center"/>
              <w:textAlignment w:val="auto"/>
              <w:rPr>
                <w:rFonts w:hint="eastAsia" w:ascii="宋体" w:hAnsi="宋体" w:eastAsia="宋体" w:cs="宋体"/>
                <w:color w:val="auto"/>
                <w:sz w:val="28"/>
                <w:szCs w:val="28"/>
                <w:lang w:eastAsia="zh-CN"/>
              </w:rPr>
            </w:pPr>
            <w:r>
              <w:rPr>
                <w:rFonts w:hint="eastAsia" w:ascii="Times New Roman" w:hAnsi="Times New Roman" w:eastAsia="宋体" w:cs="Times New Roman"/>
                <w:bCs/>
                <w:sz w:val="28"/>
                <w:lang w:eastAsia="zh-CN"/>
              </w:rPr>
              <w:drawing>
                <wp:inline distT="0" distB="0" distL="114300" distR="114300">
                  <wp:extent cx="5441315" cy="3115945"/>
                  <wp:effectExtent l="0" t="0" r="14605" b="8255"/>
                  <wp:docPr id="43" name="图片 9" descr="IMG_20240402_133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9" descr="IMG_20240402_133248"/>
                          <pic:cNvPicPr>
                            <a:picLocks noChangeAspect="1"/>
                          </pic:cNvPicPr>
                        </pic:nvPicPr>
                        <pic:blipFill>
                          <a:blip r:embed="rId19"/>
                          <a:stretch>
                            <a:fillRect/>
                          </a:stretch>
                        </pic:blipFill>
                        <pic:spPr>
                          <a:xfrm>
                            <a:off x="0" y="0"/>
                            <a:ext cx="5441315" cy="311594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9126" w:type="dxa"/>
            <w:gridSpan w:val="3"/>
            <w:noWrap w:val="0"/>
            <w:vAlign w:val="center"/>
          </w:tcPr>
          <w:p>
            <w:pPr>
              <w:wordWrap/>
              <w:topLinePunct w:val="0"/>
              <w:bidi w:val="0"/>
              <w:spacing w:line="360" w:lineRule="auto"/>
              <w:jc w:val="center"/>
              <w:textAlignment w:val="auto"/>
              <w:rPr>
                <w:rFonts w:hint="default" w:ascii="Times New Roman" w:hAnsi="Times New Roman" w:eastAsia="宋体" w:cs="Times New Roman"/>
                <w:bCs/>
                <w:sz w:val="28"/>
                <w:lang w:val="en-US" w:eastAsia="zh-CN"/>
              </w:rPr>
            </w:pPr>
            <w:r>
              <w:rPr>
                <w:rFonts w:hint="eastAsia" w:ascii="宋体" w:hAnsi="宋体" w:cs="宋体"/>
                <w:color w:val="auto"/>
                <w:sz w:val="28"/>
                <w:szCs w:val="28"/>
                <w:lang w:val="en-US" w:eastAsia="zh-CN"/>
              </w:rPr>
              <w:t xml:space="preserve">图 2-7 </w:t>
            </w:r>
            <w:r>
              <w:rPr>
                <w:rFonts w:hint="eastAsia" w:ascii="Times New Roman" w:hAnsi="Times New Roman" w:cs="Times New Roman"/>
                <w:bCs/>
                <w:sz w:val="28"/>
                <w:lang w:val="en-US" w:eastAsia="zh-CN"/>
              </w:rPr>
              <w:t>变压器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34" w:type="dxa"/>
            <w:gridSpan w:val="2"/>
            <w:noWrap w:val="0"/>
            <w:vAlign w:val="center"/>
          </w:tcPr>
          <w:p>
            <w:pPr>
              <w:wordWrap/>
              <w:topLinePunct w:val="0"/>
              <w:bidi w:val="0"/>
              <w:spacing w:line="360" w:lineRule="auto"/>
              <w:jc w:val="both"/>
              <w:textAlignment w:val="auto"/>
              <w:rPr>
                <w:rFonts w:hint="eastAsia" w:ascii="宋体" w:hAnsi="宋体" w:eastAsia="宋体" w:cs="宋体"/>
                <w:color w:val="auto"/>
                <w:sz w:val="28"/>
                <w:szCs w:val="28"/>
                <w:lang w:eastAsia="zh-CN"/>
              </w:rPr>
            </w:pPr>
            <w:r>
              <w:rPr>
                <w:rFonts w:hint="eastAsia" w:ascii="Times New Roman" w:hAnsi="Times New Roman" w:eastAsia="宋体" w:cs="Times New Roman"/>
                <w:bCs/>
                <w:sz w:val="28"/>
                <w:lang w:eastAsia="zh-CN"/>
              </w:rPr>
              <w:drawing>
                <wp:inline distT="0" distB="0" distL="114300" distR="114300">
                  <wp:extent cx="2836545" cy="2127250"/>
                  <wp:effectExtent l="0" t="0" r="13335" b="6350"/>
                  <wp:docPr id="44" name="图片 10" descr="IMG_20240402_13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0" descr="IMG_20240402_134255"/>
                          <pic:cNvPicPr>
                            <a:picLocks noChangeAspect="1"/>
                          </pic:cNvPicPr>
                        </pic:nvPicPr>
                        <pic:blipFill>
                          <a:blip r:embed="rId20"/>
                          <a:stretch>
                            <a:fillRect/>
                          </a:stretch>
                        </pic:blipFill>
                        <pic:spPr>
                          <a:xfrm>
                            <a:off x="0" y="0"/>
                            <a:ext cx="2836545" cy="2127250"/>
                          </a:xfrm>
                          <a:prstGeom prst="rect">
                            <a:avLst/>
                          </a:prstGeom>
                          <a:noFill/>
                          <a:ln>
                            <a:noFill/>
                          </a:ln>
                        </pic:spPr>
                      </pic:pic>
                    </a:graphicData>
                  </a:graphic>
                </wp:inline>
              </w:drawing>
            </w:r>
          </w:p>
        </w:tc>
        <w:tc>
          <w:tcPr>
            <w:tcW w:w="4392" w:type="dxa"/>
            <w:noWrap w:val="0"/>
            <w:vAlign w:val="center"/>
          </w:tcPr>
          <w:p>
            <w:pPr>
              <w:wordWrap/>
              <w:topLinePunct w:val="0"/>
              <w:bidi w:val="0"/>
              <w:spacing w:line="360" w:lineRule="auto"/>
              <w:jc w:val="both"/>
              <w:textAlignment w:val="auto"/>
              <w:rPr>
                <w:rFonts w:hint="eastAsia" w:ascii="宋体" w:hAnsi="宋体" w:eastAsia="宋体" w:cs="宋体"/>
                <w:color w:val="auto"/>
                <w:sz w:val="28"/>
                <w:szCs w:val="28"/>
                <w:lang w:eastAsia="zh-CN"/>
              </w:rPr>
            </w:pPr>
            <w:r>
              <w:rPr>
                <w:rFonts w:hint="eastAsia" w:ascii="Times New Roman" w:hAnsi="Times New Roman" w:eastAsia="宋体" w:cs="Times New Roman"/>
                <w:bCs/>
                <w:sz w:val="28"/>
                <w:lang w:eastAsia="zh-CN"/>
              </w:rPr>
              <w:drawing>
                <wp:inline distT="0" distB="0" distL="114300" distR="114300">
                  <wp:extent cx="2640965" cy="1986280"/>
                  <wp:effectExtent l="0" t="0" r="10795" b="10160"/>
                  <wp:docPr id="45" name="图片 11" descr="IMG_20240402_133446"/>
                  <wp:cNvGraphicFramePr/>
                  <a:graphic xmlns:a="http://schemas.openxmlformats.org/drawingml/2006/main">
                    <a:graphicData uri="http://schemas.openxmlformats.org/drawingml/2006/picture">
                      <pic:pic xmlns:pic="http://schemas.openxmlformats.org/drawingml/2006/picture">
                        <pic:nvPicPr>
                          <pic:cNvPr id="45" name="图片 11" descr="IMG_20240402_133446"/>
                          <pic:cNvPicPr/>
                        </pic:nvPicPr>
                        <pic:blipFill>
                          <a:blip r:embed="rId21"/>
                          <a:stretch>
                            <a:fillRect/>
                          </a:stretch>
                        </pic:blipFill>
                        <pic:spPr>
                          <a:xfrm>
                            <a:off x="0" y="0"/>
                            <a:ext cx="2640965" cy="198628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26" w:type="dxa"/>
            <w:gridSpan w:val="3"/>
            <w:noWrap w:val="0"/>
            <w:vAlign w:val="center"/>
          </w:tcPr>
          <w:p>
            <w:pPr>
              <w:wordWrap/>
              <w:topLinePunct w:val="0"/>
              <w:bidi w:val="0"/>
              <w:spacing w:line="360" w:lineRule="auto"/>
              <w:jc w:val="center"/>
              <w:textAlignment w:val="auto"/>
              <w:rPr>
                <w:rFonts w:hint="eastAsia" w:ascii="宋体" w:hAnsi="宋体" w:eastAsia="宋体" w:cs="宋体"/>
                <w:color w:val="auto"/>
                <w:sz w:val="28"/>
                <w:szCs w:val="28"/>
                <w:lang w:eastAsia="zh-CN"/>
              </w:rPr>
            </w:pPr>
            <w:r>
              <w:rPr>
                <w:rFonts w:hint="eastAsia" w:ascii="宋体" w:hAnsi="宋体" w:cs="宋体"/>
                <w:color w:val="auto"/>
                <w:sz w:val="28"/>
                <w:szCs w:val="28"/>
                <w:lang w:val="en-US" w:eastAsia="zh-CN"/>
              </w:rPr>
              <w:t>图 2-8</w:t>
            </w:r>
            <w:r>
              <w:rPr>
                <w:rFonts w:hint="default" w:ascii="Times New Roman" w:hAnsi="Times New Roman" w:cs="Times New Roman"/>
                <w:bCs/>
                <w:sz w:val="28"/>
                <w:lang w:val="en-US" w:eastAsia="zh-CN"/>
              </w:rPr>
              <w:t>矿界警戒线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4734" w:type="dxa"/>
            <w:gridSpan w:val="2"/>
            <w:noWrap w:val="0"/>
            <w:vAlign w:val="center"/>
          </w:tcPr>
          <w:p>
            <w:pPr>
              <w:wordWrap/>
              <w:topLinePunct w:val="0"/>
              <w:bidi w:val="0"/>
              <w:spacing w:line="240" w:lineRule="atLeast"/>
              <w:textAlignment w:val="auto"/>
              <w:rPr>
                <w:rFonts w:hint="eastAsia" w:ascii="宋体" w:hAnsi="宋体" w:eastAsia="宋体" w:cs="宋体"/>
                <w:color w:val="auto"/>
                <w:sz w:val="28"/>
                <w:szCs w:val="28"/>
                <w:lang w:eastAsia="zh-CN" w:bidi="en-US"/>
              </w:rPr>
            </w:pPr>
            <w:r>
              <w:rPr>
                <w:rFonts w:hint="eastAsia" w:ascii="Times New Roman" w:hAnsi="Times New Roman" w:eastAsia="宋体" w:cs="Times New Roman"/>
                <w:bCs/>
                <w:sz w:val="28"/>
                <w:lang w:eastAsia="zh-CN"/>
              </w:rPr>
              <w:drawing>
                <wp:inline distT="0" distB="0" distL="114300" distR="114300">
                  <wp:extent cx="2811145" cy="2107565"/>
                  <wp:effectExtent l="0" t="0" r="8255" b="10795"/>
                  <wp:docPr id="46" name="图片 12" descr="IMG_20240402_135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2" descr="IMG_20240402_135012"/>
                          <pic:cNvPicPr>
                            <a:picLocks noChangeAspect="1"/>
                          </pic:cNvPicPr>
                        </pic:nvPicPr>
                        <pic:blipFill>
                          <a:blip r:embed="rId22"/>
                          <a:stretch>
                            <a:fillRect/>
                          </a:stretch>
                        </pic:blipFill>
                        <pic:spPr>
                          <a:xfrm>
                            <a:off x="0" y="0"/>
                            <a:ext cx="2811145" cy="2107565"/>
                          </a:xfrm>
                          <a:prstGeom prst="rect">
                            <a:avLst/>
                          </a:prstGeom>
                          <a:noFill/>
                          <a:ln>
                            <a:noFill/>
                          </a:ln>
                        </pic:spPr>
                      </pic:pic>
                    </a:graphicData>
                  </a:graphic>
                </wp:inline>
              </w:drawing>
            </w:r>
          </w:p>
        </w:tc>
        <w:tc>
          <w:tcPr>
            <w:tcW w:w="4392" w:type="dxa"/>
            <w:noWrap w:val="0"/>
            <w:vAlign w:val="center"/>
          </w:tcPr>
          <w:p>
            <w:pPr>
              <w:wordWrap/>
              <w:topLinePunct w:val="0"/>
              <w:bidi w:val="0"/>
              <w:spacing w:line="240" w:lineRule="atLeast"/>
              <w:textAlignment w:val="auto"/>
              <w:rPr>
                <w:rFonts w:hint="eastAsia" w:ascii="宋体" w:hAnsi="宋体" w:eastAsia="宋体" w:cs="宋体"/>
                <w:color w:val="auto"/>
                <w:sz w:val="28"/>
                <w:szCs w:val="28"/>
                <w:lang w:eastAsia="zh-CN" w:bidi="en-US"/>
              </w:rPr>
            </w:pPr>
            <w:r>
              <w:rPr>
                <w:rFonts w:hint="eastAsia" w:ascii="Times New Roman" w:hAnsi="Times New Roman" w:eastAsia="宋体" w:cs="Times New Roman"/>
                <w:bCs/>
                <w:sz w:val="28"/>
                <w:lang w:eastAsia="zh-CN"/>
              </w:rPr>
              <w:drawing>
                <wp:inline distT="0" distB="0" distL="114300" distR="114300">
                  <wp:extent cx="2686685" cy="2014855"/>
                  <wp:effectExtent l="0" t="0" r="10795" b="12065"/>
                  <wp:docPr id="47" name="图片 13" descr="IMG_20240402_135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3" descr="IMG_20240402_135319"/>
                          <pic:cNvPicPr>
                            <a:picLocks noChangeAspect="1"/>
                          </pic:cNvPicPr>
                        </pic:nvPicPr>
                        <pic:blipFill>
                          <a:blip r:embed="rId23"/>
                          <a:stretch>
                            <a:fillRect/>
                          </a:stretch>
                        </pic:blipFill>
                        <pic:spPr>
                          <a:xfrm>
                            <a:off x="0" y="0"/>
                            <a:ext cx="2686685" cy="201485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4734" w:type="dxa"/>
            <w:gridSpan w:val="2"/>
            <w:noWrap w:val="0"/>
            <w:vAlign w:val="center"/>
          </w:tcPr>
          <w:p>
            <w:pPr>
              <w:wordWrap/>
              <w:topLinePunct w:val="0"/>
              <w:bidi w:val="0"/>
              <w:spacing w:line="360" w:lineRule="auto"/>
              <w:jc w:val="center"/>
              <w:textAlignment w:val="auto"/>
              <w:rPr>
                <w:rFonts w:hint="eastAsia" w:ascii="Times New Roman" w:hAnsi="Times New Roman" w:cs="Times New Roman"/>
                <w:bCs/>
                <w:sz w:val="28"/>
                <w:lang w:val="en-US" w:eastAsia="zh-CN"/>
              </w:rPr>
            </w:pPr>
            <w:r>
              <w:rPr>
                <w:rFonts w:hint="eastAsia" w:ascii="宋体" w:hAnsi="宋体" w:cs="宋体"/>
                <w:color w:val="auto"/>
                <w:sz w:val="28"/>
                <w:szCs w:val="28"/>
                <w:lang w:val="en-US" w:eastAsia="zh-CN"/>
              </w:rPr>
              <w:t>图 2-9</w:t>
            </w:r>
            <w:r>
              <w:rPr>
                <w:rFonts w:hint="eastAsia" w:ascii="Times New Roman" w:hAnsi="Times New Roman" w:cs="Times New Roman"/>
                <w:bCs/>
                <w:sz w:val="28"/>
                <w:lang w:val="en-US" w:eastAsia="zh-CN"/>
              </w:rPr>
              <w:t>部分安全警示标志</w:t>
            </w:r>
          </w:p>
        </w:tc>
        <w:tc>
          <w:tcPr>
            <w:tcW w:w="4392" w:type="dxa"/>
            <w:noWrap w:val="0"/>
            <w:vAlign w:val="center"/>
          </w:tcPr>
          <w:p>
            <w:pPr>
              <w:wordWrap/>
              <w:topLinePunct w:val="0"/>
              <w:bidi w:val="0"/>
              <w:spacing w:line="360" w:lineRule="auto"/>
              <w:jc w:val="center"/>
              <w:textAlignment w:val="auto"/>
              <w:rPr>
                <w:rFonts w:hint="eastAsia" w:ascii="Times New Roman" w:hAnsi="Times New Roman" w:cs="Times New Roman"/>
                <w:bCs/>
                <w:sz w:val="28"/>
                <w:lang w:val="en-US" w:eastAsia="zh-CN"/>
              </w:rPr>
            </w:pPr>
            <w:r>
              <w:rPr>
                <w:rFonts w:hint="eastAsia" w:ascii="宋体" w:hAnsi="宋体" w:cs="宋体"/>
                <w:color w:val="auto"/>
                <w:sz w:val="28"/>
                <w:szCs w:val="28"/>
                <w:lang w:val="en-US" w:eastAsia="zh-CN"/>
              </w:rPr>
              <w:t>图 2-10</w:t>
            </w:r>
            <w:r>
              <w:rPr>
                <w:rFonts w:hint="default" w:ascii="Times New Roman" w:hAnsi="Times New Roman" w:cs="Times New Roman"/>
                <w:bCs/>
                <w:sz w:val="28"/>
                <w:lang w:val="en-US" w:eastAsia="zh-CN"/>
              </w:rPr>
              <w:t xml:space="preserve"> </w:t>
            </w:r>
            <w:r>
              <w:rPr>
                <w:rFonts w:hint="eastAsia" w:ascii="Times New Roman" w:hAnsi="Times New Roman" w:cs="Times New Roman"/>
                <w:bCs/>
                <w:sz w:val="28"/>
                <w:lang w:val="en-US" w:eastAsia="zh-CN"/>
              </w:rPr>
              <w:t>规章</w:t>
            </w:r>
            <w:r>
              <w:rPr>
                <w:rFonts w:hint="default" w:ascii="Times New Roman" w:hAnsi="Times New Roman" w:cs="Times New Roman"/>
                <w:bCs/>
                <w:sz w:val="28"/>
                <w:lang w:val="en-US" w:eastAsia="zh-CN"/>
              </w:rPr>
              <w:t>制度上墙</w:t>
            </w:r>
          </w:p>
        </w:tc>
      </w:tr>
    </w:tbl>
    <w:tbl>
      <w:tblPr>
        <w:tblStyle w:val="36"/>
        <w:tblW w:w="9092" w:type="dxa"/>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0"/>
        <w:gridCol w:w="4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8" w:hRule="atLeast"/>
        </w:trPr>
        <w:tc>
          <w:tcPr>
            <w:tcW w:w="4720" w:type="dxa"/>
            <w:noWrap w:val="0"/>
            <w:vAlign w:val="center"/>
          </w:tcPr>
          <w:p>
            <w:pPr>
              <w:wordWrap/>
              <w:topLinePunct w:val="0"/>
              <w:bidi w:val="0"/>
              <w:spacing w:line="240" w:lineRule="auto"/>
              <w:jc w:val="both"/>
              <w:textAlignment w:val="auto"/>
              <w:rPr>
                <w:rFonts w:hint="eastAsia" w:eastAsia="宋体"/>
                <w:color w:val="auto"/>
                <w:sz w:val="28"/>
                <w:szCs w:val="28"/>
                <w:lang w:val="en-US" w:eastAsia="zh-CN"/>
              </w:rPr>
            </w:pPr>
            <w:r>
              <w:drawing>
                <wp:inline distT="0" distB="0" distL="114300" distR="114300">
                  <wp:extent cx="2855595" cy="2143125"/>
                  <wp:effectExtent l="0" t="0" r="9525" b="5715"/>
                  <wp:docPr id="4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4"/>
                          <pic:cNvPicPr>
                            <a:picLocks noChangeAspect="1"/>
                          </pic:cNvPicPr>
                        </pic:nvPicPr>
                        <pic:blipFill>
                          <a:blip r:embed="rId24"/>
                          <a:stretch>
                            <a:fillRect/>
                          </a:stretch>
                        </pic:blipFill>
                        <pic:spPr>
                          <a:xfrm>
                            <a:off x="0" y="0"/>
                            <a:ext cx="2855595" cy="2143125"/>
                          </a:xfrm>
                          <a:prstGeom prst="rect">
                            <a:avLst/>
                          </a:prstGeom>
                          <a:noFill/>
                          <a:ln>
                            <a:noFill/>
                          </a:ln>
                        </pic:spPr>
                      </pic:pic>
                    </a:graphicData>
                  </a:graphic>
                </wp:inline>
              </w:drawing>
            </w:r>
          </w:p>
        </w:tc>
        <w:tc>
          <w:tcPr>
            <w:tcW w:w="4372" w:type="dxa"/>
            <w:noWrap w:val="0"/>
            <w:vAlign w:val="center"/>
          </w:tcPr>
          <w:p>
            <w:pPr>
              <w:wordWrap/>
              <w:topLinePunct w:val="0"/>
              <w:bidi w:val="0"/>
              <w:spacing w:line="240" w:lineRule="auto"/>
              <w:jc w:val="both"/>
              <w:textAlignment w:val="auto"/>
              <w:rPr>
                <w:rFonts w:hint="eastAsia" w:eastAsia="宋体"/>
                <w:color w:val="auto"/>
                <w:sz w:val="28"/>
                <w:szCs w:val="28"/>
                <w:vertAlign w:val="baseline"/>
                <w:lang w:eastAsia="zh-CN"/>
              </w:rPr>
            </w:pPr>
            <w:r>
              <w:drawing>
                <wp:inline distT="0" distB="0" distL="114300" distR="114300">
                  <wp:extent cx="2676525" cy="2056765"/>
                  <wp:effectExtent l="0" t="0" r="5715" b="635"/>
                  <wp:docPr id="49"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5"/>
                          <pic:cNvPicPr>
                            <a:picLocks noChangeAspect="1"/>
                          </pic:cNvPicPr>
                        </pic:nvPicPr>
                        <pic:blipFill>
                          <a:blip r:embed="rId25"/>
                          <a:stretch>
                            <a:fillRect/>
                          </a:stretch>
                        </pic:blipFill>
                        <pic:spPr>
                          <a:xfrm>
                            <a:off x="0" y="0"/>
                            <a:ext cx="2676525" cy="205676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9092" w:type="dxa"/>
            <w:gridSpan w:val="2"/>
            <w:noWrap w:val="0"/>
            <w:vAlign w:val="center"/>
          </w:tcPr>
          <w:p>
            <w:pPr>
              <w:wordWrap/>
              <w:topLinePunct w:val="0"/>
              <w:bidi w:val="0"/>
              <w:spacing w:line="360" w:lineRule="auto"/>
              <w:jc w:val="center"/>
              <w:textAlignment w:val="auto"/>
              <w:rPr>
                <w:rFonts w:hint="eastAsia"/>
                <w:color w:val="auto"/>
                <w:sz w:val="28"/>
                <w:szCs w:val="28"/>
                <w:lang w:val="en-US" w:eastAsia="zh-CN"/>
              </w:rPr>
            </w:pPr>
            <w:r>
              <w:rPr>
                <w:rFonts w:hint="eastAsia" w:ascii="宋体" w:hAnsi="宋体" w:cs="宋体"/>
                <w:color w:val="auto"/>
                <w:sz w:val="28"/>
                <w:szCs w:val="28"/>
                <w:lang w:val="en-US" w:eastAsia="zh-CN"/>
              </w:rPr>
              <w:t xml:space="preserve">图 2-11 </w:t>
            </w:r>
            <w:r>
              <w:rPr>
                <w:rFonts w:hint="eastAsia" w:ascii="宋体" w:hAnsi="宋体"/>
                <w:color w:val="auto"/>
                <w:sz w:val="28"/>
                <w:szCs w:val="28"/>
              </w:rPr>
              <w:t>评价人员现场踏勘照片</w:t>
            </w:r>
            <w:r>
              <w:rPr>
                <w:rFonts w:hint="eastAsia" w:ascii="宋体" w:hAnsi="宋体"/>
                <w:color w:val="auto"/>
                <w:sz w:val="28"/>
                <w:szCs w:val="28"/>
                <w:lang w:eastAsia="zh-CN"/>
              </w:rPr>
              <w:t>（</w:t>
            </w:r>
            <w:r>
              <w:rPr>
                <w:rFonts w:hint="eastAsia" w:ascii="宋体" w:hAnsi="宋体"/>
                <w:color w:val="auto"/>
                <w:sz w:val="28"/>
                <w:szCs w:val="28"/>
                <w:lang w:val="en-US" w:eastAsia="zh-CN"/>
              </w:rPr>
              <w:t xml:space="preserve">左一：周忠菊  右一： 李晓达  </w:t>
            </w:r>
            <w:r>
              <w:rPr>
                <w:rFonts w:hint="eastAsia" w:ascii="宋体" w:hAnsi="宋体"/>
                <w:color w:val="auto"/>
                <w:sz w:val="28"/>
                <w:szCs w:val="28"/>
                <w:lang w:eastAsia="zh-CN"/>
              </w:rPr>
              <w:t>）</w:t>
            </w:r>
          </w:p>
        </w:tc>
      </w:tr>
    </w:tbl>
    <w:p>
      <w:pPr>
        <w:pStyle w:val="34"/>
        <w:wordWrap/>
        <w:topLinePunct w:val="0"/>
        <w:bidi w:val="0"/>
        <w:ind w:left="0" w:leftChars="0" w:firstLine="0" w:firstLineChars="0"/>
        <w:textAlignment w:val="auto"/>
        <w:rPr>
          <w:rFonts w:hint="default"/>
          <w:color w:val="auto"/>
          <w:lang w:val="en-US" w:eastAsia="zh-CN"/>
        </w:rPr>
        <w:sectPr>
          <w:pgSz w:w="11907" w:h="16840"/>
          <w:pgMar w:top="1417" w:right="1417" w:bottom="1417" w:left="1417" w:header="964" w:footer="964" w:gutter="0"/>
          <w:pgNumType w:fmt="decimal"/>
          <w:cols w:space="720" w:num="1"/>
          <w:docGrid w:type="linesAndChars" w:linePitch="317" w:charSpace="0"/>
        </w:sectPr>
      </w:pPr>
    </w:p>
    <w:p>
      <w:pPr>
        <w:pStyle w:val="3"/>
        <w:bidi w:val="0"/>
        <w:rPr>
          <w:rFonts w:hint="eastAsia" w:ascii="宋体" w:hAnsi="宋体" w:cs="Courier New"/>
          <w:color w:val="000000" w:themeColor="text1"/>
          <w:szCs w:val="32"/>
          <w:lang w:eastAsia="zh-CN" w:bidi="ar-SA"/>
          <w14:textFill>
            <w14:solidFill>
              <w14:schemeClr w14:val="tx1"/>
            </w14:solidFill>
          </w14:textFill>
        </w:rPr>
      </w:pPr>
      <w:bookmarkStart w:id="196" w:name="_Toc5021"/>
      <w:bookmarkStart w:id="197" w:name="_Toc26692"/>
      <w:r>
        <w:rPr>
          <w:rFonts w:hint="eastAsia"/>
          <w:lang w:eastAsia="zh-CN"/>
        </w:rPr>
        <w:t>第3章</w:t>
      </w:r>
      <w:r>
        <w:rPr>
          <w:rFonts w:hint="eastAsia"/>
          <w:lang w:val="en-US" w:eastAsia="zh-CN"/>
        </w:rPr>
        <w:t xml:space="preserve"> </w:t>
      </w:r>
      <w:r>
        <w:rPr>
          <w:rFonts w:hint="eastAsia"/>
          <w:lang w:eastAsia="zh-CN"/>
        </w:rPr>
        <w:t>危险、有害因素辨识与分析</w:t>
      </w:r>
      <w:bookmarkEnd w:id="196"/>
      <w:bookmarkEnd w:id="197"/>
    </w:p>
    <w:p>
      <w:pPr>
        <w:wordWrap/>
        <w:topLinePunct w:val="0"/>
        <w:bidi w:val="0"/>
        <w:spacing w:line="500" w:lineRule="exact"/>
        <w:ind w:firstLine="560" w:firstLineChars="200"/>
        <w:textAlignment w:val="auto"/>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t>本章针对主体工程和其他辅助配套公用设施的运行情况，对设施、装置和生产系统中可能存在的危险、有害因素进行辨识和分析，确定危险、有害因素产生的原因，主要危险、有害因素的种类，存在部位及可能产生的后果。</w:t>
      </w:r>
    </w:p>
    <w:p>
      <w:pPr>
        <w:pStyle w:val="4"/>
        <w:bidi w:val="0"/>
        <w:rPr>
          <w:rFonts w:hint="eastAsia"/>
          <w:lang w:eastAsia="zh-CN"/>
        </w:rPr>
      </w:pPr>
      <w:bookmarkStart w:id="198" w:name="_Toc19992"/>
      <w:bookmarkStart w:id="199" w:name="_Toc3018"/>
      <w:bookmarkStart w:id="200" w:name="_Toc429072994"/>
      <w:bookmarkStart w:id="201" w:name="_Toc350324562"/>
      <w:bookmarkStart w:id="202" w:name="_Toc22609"/>
      <w:r>
        <w:rPr>
          <w:rFonts w:hint="eastAsia"/>
          <w:lang w:eastAsia="zh-CN"/>
        </w:rPr>
        <w:t>3.1危险、有害因素分类依据</w:t>
      </w:r>
      <w:bookmarkEnd w:id="198"/>
      <w:bookmarkEnd w:id="199"/>
      <w:bookmarkEnd w:id="200"/>
      <w:bookmarkEnd w:id="201"/>
      <w:bookmarkEnd w:id="202"/>
    </w:p>
    <w:p>
      <w:pPr>
        <w:wordWrap/>
        <w:topLinePunct w:val="0"/>
        <w:bidi w:val="0"/>
        <w:spacing w:line="500" w:lineRule="exact"/>
        <w:ind w:firstLine="560" w:firstLineChars="200"/>
        <w:textAlignment w:val="auto"/>
        <w:rPr>
          <w:rFonts w:hint="eastAsia" w:ascii="宋体" w:hAnsi="宋体" w:eastAsia="宋体" w:cs="宋体"/>
          <w:b w:val="0"/>
          <w:bCs w:val="0"/>
          <w:color w:val="auto"/>
          <w:kern w:val="2"/>
          <w:sz w:val="28"/>
          <w:szCs w:val="28"/>
          <w:lang w:val="en-US" w:eastAsia="zh-CN" w:bidi="ar-SA"/>
        </w:rPr>
      </w:pPr>
      <w:bookmarkStart w:id="203" w:name="_Toc13611"/>
      <w:bookmarkStart w:id="204" w:name="_Toc299550633"/>
      <w:bookmarkStart w:id="205" w:name="_Toc350324563"/>
      <w:bookmarkStart w:id="206" w:name="_Toc297117652"/>
      <w:bookmarkStart w:id="207" w:name="_Toc236050040"/>
      <w:bookmarkStart w:id="208" w:name="_Toc429072995"/>
      <w:r>
        <w:rPr>
          <w:rFonts w:hint="eastAsia" w:ascii="宋体" w:hAnsi="宋体" w:eastAsia="宋体" w:cs="宋体"/>
          <w:b w:val="0"/>
          <w:bCs w:val="0"/>
          <w:color w:val="auto"/>
          <w:kern w:val="2"/>
          <w:sz w:val="28"/>
          <w:szCs w:val="28"/>
          <w:lang w:val="en-US" w:eastAsia="zh-CN" w:bidi="ar-SA"/>
        </w:rPr>
        <w:t>依据《企业职工伤亡事故分类》(GB6441-1986)，综合考虑起因物、引发事故的诱导性原因、致害物、伤害方式等，可将生产过程中的常见事故划分为20类。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按照《</w:t>
      </w:r>
      <w:r>
        <w:rPr>
          <w:rFonts w:hint="eastAsia" w:ascii="宋体" w:hAnsi="宋体" w:eastAsia="宋体" w:cs="宋体"/>
          <w:sz w:val="28"/>
          <w:szCs w:val="28"/>
          <w:lang w:val="sq-AL"/>
        </w:rPr>
        <w:t>生产过程危险</w:t>
      </w:r>
      <w:r>
        <w:rPr>
          <w:rFonts w:hint="eastAsia" w:ascii="宋体" w:hAnsi="宋体" w:eastAsia="宋体" w:cs="宋体"/>
          <w:sz w:val="28"/>
          <w:szCs w:val="28"/>
        </w:rPr>
        <w:t>和</w:t>
      </w:r>
      <w:r>
        <w:rPr>
          <w:rFonts w:hint="eastAsia" w:ascii="宋体" w:hAnsi="宋体" w:eastAsia="宋体" w:cs="宋体"/>
          <w:sz w:val="28"/>
          <w:szCs w:val="28"/>
          <w:lang w:val="sq-AL"/>
        </w:rPr>
        <w:t>有害因素分类与代码》（GB/T13861-20</w:t>
      </w:r>
      <w:r>
        <w:rPr>
          <w:rFonts w:hint="eastAsia" w:ascii="宋体" w:hAnsi="宋体" w:eastAsia="宋体" w:cs="宋体"/>
          <w:sz w:val="28"/>
          <w:szCs w:val="28"/>
        </w:rPr>
        <w:t>22）将生产过程中的危险、有害因素分为以下4类：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1.第一类：人的因素（心理、生理性危险有害因素；行为性危险有害因素）；</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2.第二类：物的因素（物理性、化学性、生物性危险有害因素）；</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3.第三类：环境因素（室内作业环境不良、室外作业环境不良、地下（含水下）作业环境不良、其他作业环境不良）；</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4.第四类：管理因素（职业安全健康组织结构不健全、职业安全健康责任制未落实、职业安全健康管理规章制度不完善、职业安全健康投入不足、职业安全健康管理不完善、其他管理因素缺陷）。</w:t>
      </w:r>
    </w:p>
    <w:p>
      <w:pPr>
        <w:wordWrap/>
        <w:topLinePunct w:val="0"/>
        <w:bidi w:val="0"/>
        <w:spacing w:line="500" w:lineRule="exact"/>
        <w:ind w:firstLine="560" w:firstLineChars="200"/>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本评价将依据上述规定对该矿山的露天开采系统、矿山总平面布置、开采方式、生产工艺、公辅设施等内容进行危险、有害因素分析和辨识。</w:t>
      </w:r>
    </w:p>
    <w:p>
      <w:pPr>
        <w:pStyle w:val="4"/>
        <w:bidi w:val="0"/>
        <w:rPr>
          <w:lang w:eastAsia="zh-CN"/>
        </w:rPr>
      </w:pPr>
      <w:bookmarkStart w:id="209" w:name="_Toc26243"/>
      <w:bookmarkStart w:id="210" w:name="_Toc504765746"/>
      <w:bookmarkStart w:id="211" w:name="_Toc9741"/>
      <w:r>
        <w:rPr>
          <w:lang w:eastAsia="zh-CN"/>
        </w:rPr>
        <w:t>3.2项目涉及的危险、有害因素辨识与分析</w:t>
      </w:r>
      <w:bookmarkEnd w:id="209"/>
      <w:bookmarkEnd w:id="210"/>
      <w:bookmarkEnd w:id="211"/>
    </w:p>
    <w:bookmarkEnd w:id="203"/>
    <w:bookmarkEnd w:id="204"/>
    <w:bookmarkEnd w:id="205"/>
    <w:bookmarkEnd w:id="206"/>
    <w:bookmarkEnd w:id="207"/>
    <w:bookmarkEnd w:id="208"/>
    <w:p>
      <w:pPr>
        <w:pStyle w:val="5"/>
        <w:bidi w:val="0"/>
        <w:rPr>
          <w:rFonts w:hint="eastAsia"/>
          <w:lang w:eastAsia="zh-CN"/>
        </w:rPr>
      </w:pPr>
      <w:bookmarkStart w:id="212" w:name="_Toc102829703"/>
      <w:bookmarkStart w:id="213" w:name="_Toc12154"/>
      <w:bookmarkStart w:id="214" w:name="_Toc350324565"/>
      <w:bookmarkStart w:id="215" w:name="_Toc429072997"/>
      <w:bookmarkStart w:id="216" w:name="_Toc33"/>
      <w:r>
        <w:rPr>
          <w:rFonts w:hint="eastAsia"/>
          <w:lang w:eastAsia="zh-CN"/>
        </w:rPr>
        <w:t>3.2.1总平面布置危险有害因素的辨识与分析</w:t>
      </w:r>
      <w:bookmarkEnd w:id="212"/>
      <w:bookmarkEnd w:id="213"/>
      <w:bookmarkEnd w:id="214"/>
      <w:bookmarkEnd w:id="215"/>
      <w:bookmarkEnd w:id="216"/>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b/>
          <w:bCs/>
          <w:sz w:val="28"/>
          <w:szCs w:val="28"/>
        </w:rPr>
      </w:pPr>
      <w:r>
        <w:rPr>
          <w:b/>
          <w:bCs/>
          <w:sz w:val="28"/>
          <w:szCs w:val="28"/>
        </w:rPr>
        <w:t>1、危险有害因素辨识与分析</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sz w:val="28"/>
          <w:szCs w:val="28"/>
        </w:rPr>
        <w:t>根据本项目的总图布置，围绕总平面布置情况进行分析。从采场的工程地质、地形地貌、水文地质、气象条件、周围环境、交通运输条件、自然灾害以及总平面布置的功能分区、安全距离、风向、设备设施、道路联系等方面分析和辨识危险有害因素。按危险因素的性质，总图布置方面的危险有害因素可划分为：滚石、滑坡、泥石流、车辆伤害等，分析如下：</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bookmarkStart w:id="217" w:name="_Toc418847787"/>
      <w:r>
        <w:rPr>
          <w:sz w:val="28"/>
          <w:szCs w:val="28"/>
        </w:rPr>
        <w:t>（1）滚石、滑坡（坍塌）、泥石流危险</w:t>
      </w:r>
      <w:bookmarkEnd w:id="217"/>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sz w:val="28"/>
          <w:szCs w:val="28"/>
        </w:rPr>
        <w:t>分布于矿区道路的下部边坡为松散岩土，不按设计规划开采形成高陡边坡或人工切坡，有可能产生滑坡、泥石流危险。因气象条件不落实、截排水设施不完善，大气降雨缺乏有效的截排和疏导，泥水混合物以冲击、填塞、掩埋等形式毁坏下游设施。</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bookmarkStart w:id="218" w:name="_Toc418847788"/>
      <w:r>
        <w:rPr>
          <w:sz w:val="28"/>
          <w:szCs w:val="28"/>
        </w:rPr>
        <w:t>（2）车辆伤害</w:t>
      </w:r>
      <w:bookmarkEnd w:id="218"/>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sz w:val="28"/>
          <w:szCs w:val="28"/>
        </w:rPr>
        <w:t>矿山车辆在矿区内进行运输作业，如果对安全驾驶和行车安全的重要性认识不足，思想麻痹、违章驾驶、管理不善和车辆带病运行等，就会造成车辆伤害事故。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sz w:val="28"/>
          <w:szCs w:val="28"/>
        </w:rPr>
        <w:t>车辆伤害主要有：车辆载重量大，易翻车；自然条件的不利影响，如雾天影响视线，冰雪和雨水使路面变滑等；采场运输用的装载机车辆，高度较大，驾驶人员视线容易被遮挡，如果在作业过程中有无关人员进入采场运输通道内，可能发生运输车辆伤害事故；安全管理不到位，如车辆驾驶员没有经过培训，或者对安全驾驶和行车安全的重要性认识不足，思想麻痹、违章驾驶；路面缺乏维护保养；车辆没有按照有关规定进行维修保养，或带病行车等，也可能造成车辆伤害事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rFonts w:hint="eastAsia"/>
          <w:sz w:val="28"/>
          <w:szCs w:val="28"/>
        </w:rPr>
        <w:t>（3）物体打击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sz w:val="28"/>
          <w:szCs w:val="28"/>
        </w:rPr>
      </w:pPr>
      <w:r>
        <w:rPr>
          <w:rFonts w:hint="eastAsia"/>
          <w:sz w:val="28"/>
          <w:szCs w:val="28"/>
        </w:rPr>
        <w:t>造成物体打击的原因主要有：</w:t>
      </w:r>
      <w:r>
        <w:rPr>
          <w:sz w:val="28"/>
          <w:szCs w:val="28"/>
        </w:rPr>
        <w:t>采场高处危险地段未设置安全警示标志</w:t>
      </w:r>
      <w:r>
        <w:rPr>
          <w:rFonts w:hint="eastAsia"/>
          <w:sz w:val="28"/>
          <w:szCs w:val="28"/>
        </w:rPr>
        <w:t>；</w:t>
      </w:r>
      <w:r>
        <w:rPr>
          <w:sz w:val="28"/>
          <w:szCs w:val="28"/>
        </w:rPr>
        <w:t>高处作业的人员不小心碰掉工具、材料、浮石；</w:t>
      </w:r>
      <w:r>
        <w:rPr>
          <w:rFonts w:hint="eastAsia"/>
          <w:sz w:val="28"/>
          <w:szCs w:val="28"/>
        </w:rPr>
        <w:t>从业人员未</w:t>
      </w:r>
      <w:r>
        <w:rPr>
          <w:sz w:val="28"/>
          <w:szCs w:val="28"/>
        </w:rPr>
        <w:t>穿戴劳动防护用品</w:t>
      </w:r>
      <w:r>
        <w:rPr>
          <w:rFonts w:hint="eastAsia"/>
          <w:sz w:val="28"/>
          <w:szCs w:val="28"/>
        </w:rPr>
        <w:t>，如</w:t>
      </w:r>
      <w:r>
        <w:rPr>
          <w:sz w:val="28"/>
          <w:szCs w:val="28"/>
        </w:rPr>
        <w:t>安全帽。</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rFonts w:hint="eastAsia"/>
          <w:sz w:val="28"/>
          <w:szCs w:val="28"/>
        </w:rPr>
        <w:t>（4）高处坠落</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sz w:val="28"/>
          <w:szCs w:val="28"/>
        </w:rPr>
        <w:t>高于地面2m(含2m)以上作业平台无安全护栏、通往平台的通道无踏步和安全护栏等，均可能发生高处坠落伤亡事故。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sz w:val="28"/>
          <w:szCs w:val="28"/>
        </w:rPr>
      </w:pPr>
      <w:r>
        <w:rPr>
          <w:rFonts w:hint="eastAsia"/>
          <w:sz w:val="28"/>
          <w:szCs w:val="28"/>
        </w:rPr>
        <w:t>造成高处坠落的原因主要有：在设备上检修等高处作业时，由于操作失误、未系安全带、未设置防护栏或</w:t>
      </w:r>
      <w:r>
        <w:rPr>
          <w:sz w:val="28"/>
          <w:szCs w:val="28"/>
        </w:rPr>
        <w:t>防护设施损坏</w:t>
      </w:r>
      <w:r>
        <w:rPr>
          <w:rFonts w:hint="eastAsia"/>
          <w:sz w:val="28"/>
          <w:szCs w:val="28"/>
        </w:rPr>
        <w:t>，</w:t>
      </w:r>
      <w:r>
        <w:rPr>
          <w:sz w:val="28"/>
          <w:szCs w:val="28"/>
        </w:rPr>
        <w:t>或</w:t>
      </w:r>
      <w:r>
        <w:rPr>
          <w:rFonts w:hint="eastAsia"/>
          <w:sz w:val="28"/>
          <w:szCs w:val="28"/>
          <w:lang w:val="en-US" w:eastAsia="zh-CN"/>
        </w:rPr>
        <w:t>高</w:t>
      </w:r>
      <w:r>
        <w:rPr>
          <w:sz w:val="28"/>
          <w:szCs w:val="28"/>
        </w:rPr>
        <w:t>处作业时无人监护或主观判断失误等</w:t>
      </w:r>
      <w:r>
        <w:rPr>
          <w:rFonts w:hint="eastAsia"/>
          <w:sz w:val="28"/>
          <w:szCs w:val="28"/>
        </w:rPr>
        <w:t>原因。</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sz w:val="28"/>
          <w:szCs w:val="28"/>
          <w:lang w:val="en-US" w:eastAsia="zh-CN"/>
        </w:rPr>
      </w:pPr>
      <w:r>
        <w:rPr>
          <w:rFonts w:hint="eastAsia"/>
          <w:sz w:val="28"/>
          <w:szCs w:val="28"/>
          <w:lang w:eastAsia="zh-CN"/>
        </w:rPr>
        <w:t>（</w:t>
      </w:r>
      <w:r>
        <w:rPr>
          <w:rFonts w:hint="eastAsia"/>
          <w:sz w:val="28"/>
          <w:szCs w:val="28"/>
          <w:lang w:val="en-US" w:eastAsia="zh-CN"/>
        </w:rPr>
        <w:t>5</w:t>
      </w:r>
      <w:r>
        <w:rPr>
          <w:rFonts w:hint="eastAsia"/>
          <w:sz w:val="28"/>
          <w:szCs w:val="28"/>
          <w:lang w:eastAsia="zh-CN"/>
        </w:rPr>
        <w:t>）</w:t>
      </w:r>
      <w:r>
        <w:rPr>
          <w:rFonts w:hint="eastAsia"/>
          <w:sz w:val="28"/>
          <w:szCs w:val="28"/>
          <w:lang w:val="en-US" w:eastAsia="zh-CN"/>
        </w:rPr>
        <w:t>淹溺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eastAsia="宋体"/>
          <w:sz w:val="28"/>
          <w:szCs w:val="28"/>
          <w:lang w:val="en-US" w:eastAsia="zh-CN"/>
        </w:rPr>
      </w:pPr>
      <w:r>
        <w:rPr>
          <w:sz w:val="28"/>
          <w:szCs w:val="28"/>
        </w:rPr>
        <w:t>矿山</w:t>
      </w:r>
      <w:r>
        <w:rPr>
          <w:rFonts w:hint="eastAsia"/>
          <w:sz w:val="28"/>
          <w:szCs w:val="28"/>
          <w:lang w:val="en-US" w:eastAsia="zh-CN"/>
        </w:rPr>
        <w:t>人员靠近水池边作业或行走</w:t>
      </w:r>
      <w:r>
        <w:rPr>
          <w:sz w:val="28"/>
          <w:szCs w:val="28"/>
        </w:rPr>
        <w:t>，</w:t>
      </w:r>
      <w:r>
        <w:rPr>
          <w:rFonts w:hint="eastAsia"/>
          <w:sz w:val="28"/>
          <w:szCs w:val="28"/>
          <w:lang w:val="en-US" w:eastAsia="zh-CN"/>
        </w:rPr>
        <w:t>如果路面湿滑、水池边未设置护栏、人员安全意识淡薄、安全警示标志不醒目或缺失</w:t>
      </w:r>
      <w:r>
        <w:rPr>
          <w:sz w:val="28"/>
          <w:szCs w:val="28"/>
        </w:rPr>
        <w:t>等，就会造成</w:t>
      </w:r>
      <w:r>
        <w:rPr>
          <w:rFonts w:hint="eastAsia"/>
          <w:sz w:val="28"/>
          <w:szCs w:val="28"/>
          <w:lang w:val="en-US" w:eastAsia="zh-CN"/>
        </w:rPr>
        <w:t>淹溺</w:t>
      </w:r>
      <w:r>
        <w:rPr>
          <w:sz w:val="28"/>
          <w:szCs w:val="28"/>
        </w:rPr>
        <w:t>事故</w:t>
      </w:r>
      <w:r>
        <w:rPr>
          <w:rFonts w:hint="eastAsia"/>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sz w:val="28"/>
          <w:szCs w:val="28"/>
        </w:rPr>
        <w:t>2、总图布置危险有害因素辨识与分析小结</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b/>
          <w:sz w:val="28"/>
          <w:szCs w:val="28"/>
        </w:rPr>
      </w:pPr>
      <w:r>
        <w:rPr>
          <w:sz w:val="28"/>
          <w:szCs w:val="28"/>
        </w:rPr>
        <w:t>总图布置方面的危险有害因素是多方面的和错综复杂的，需要在</w:t>
      </w:r>
      <w:r>
        <w:rPr>
          <w:rFonts w:hint="eastAsia"/>
          <w:sz w:val="28"/>
          <w:szCs w:val="28"/>
        </w:rPr>
        <w:t>该生产</w:t>
      </w:r>
      <w:r>
        <w:rPr>
          <w:sz w:val="28"/>
          <w:szCs w:val="28"/>
        </w:rPr>
        <w:t>项目的各个时期分别采取科学的方法和手段加以预防和消除，或减弱其影响。为了更好地指导企业的安全工作，将以上分析结果归纳为表3</w:t>
      </w:r>
      <w:r>
        <w:rPr>
          <w:rFonts w:hint="eastAsia"/>
          <w:sz w:val="28"/>
          <w:szCs w:val="28"/>
          <w:lang w:val="en-US" w:eastAsia="zh-CN"/>
        </w:rPr>
        <w:t>-1</w:t>
      </w:r>
      <w:r>
        <w:rPr>
          <w:sz w:val="28"/>
          <w:szCs w:val="28"/>
        </w:rPr>
        <w:t>。</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Cs w:val="21"/>
        </w:rPr>
      </w:pPr>
      <w:r>
        <w:rPr>
          <w:rFonts w:hint="eastAsia" w:ascii="宋体" w:hAnsi="宋体" w:eastAsia="宋体" w:cs="宋体"/>
          <w:b/>
          <w:bCs/>
          <w:szCs w:val="21"/>
        </w:rPr>
        <w:t>表</w:t>
      </w:r>
      <w:r>
        <w:rPr>
          <w:rFonts w:hint="eastAsia" w:ascii="宋体" w:hAnsi="宋体" w:eastAsia="宋体" w:cs="宋体"/>
          <w:b/>
          <w:bCs/>
          <w:szCs w:val="21"/>
          <w:lang w:val="en-US" w:eastAsia="zh-CN"/>
        </w:rPr>
        <w:t>3-1</w:t>
      </w:r>
      <w:r>
        <w:rPr>
          <w:rFonts w:hint="eastAsia" w:ascii="宋体" w:hAnsi="宋体" w:eastAsia="宋体" w:cs="宋体"/>
          <w:b/>
          <w:bCs/>
          <w:szCs w:val="21"/>
        </w:rPr>
        <w:t xml:space="preserve"> 厂址选择和总图布置方面的危险有害因素小结表</w:t>
      </w:r>
    </w:p>
    <w:tbl>
      <w:tblPr>
        <w:tblStyle w:val="35"/>
        <w:tblW w:w="483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1"/>
        <w:gridCol w:w="724"/>
        <w:gridCol w:w="2357"/>
        <w:gridCol w:w="5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96" w:type="pct"/>
            <w:noWrap w:val="0"/>
            <w:vAlign w:val="center"/>
          </w:tcPr>
          <w:p>
            <w:pPr>
              <w:spacing w:line="300" w:lineRule="exact"/>
              <w:jc w:val="center"/>
              <w:rPr>
                <w:szCs w:val="21"/>
              </w:rPr>
            </w:pPr>
            <w:r>
              <w:rPr>
                <w:szCs w:val="21"/>
              </w:rPr>
              <w:t>项目</w:t>
            </w:r>
          </w:p>
        </w:tc>
        <w:tc>
          <w:tcPr>
            <w:tcW w:w="398" w:type="pct"/>
            <w:noWrap w:val="0"/>
            <w:vAlign w:val="center"/>
          </w:tcPr>
          <w:p>
            <w:pPr>
              <w:spacing w:line="300" w:lineRule="exact"/>
              <w:jc w:val="center"/>
              <w:rPr>
                <w:szCs w:val="21"/>
              </w:rPr>
            </w:pPr>
            <w:r>
              <w:rPr>
                <w:szCs w:val="21"/>
              </w:rPr>
              <w:t>序号</w:t>
            </w:r>
          </w:p>
        </w:tc>
        <w:tc>
          <w:tcPr>
            <w:tcW w:w="1295" w:type="pct"/>
            <w:noWrap w:val="0"/>
            <w:vAlign w:val="center"/>
          </w:tcPr>
          <w:p>
            <w:pPr>
              <w:spacing w:line="300" w:lineRule="exact"/>
              <w:jc w:val="center"/>
              <w:rPr>
                <w:szCs w:val="21"/>
              </w:rPr>
            </w:pPr>
            <w:r>
              <w:rPr>
                <w:szCs w:val="21"/>
              </w:rPr>
              <w:t>危险有害因素分类</w:t>
            </w:r>
          </w:p>
        </w:tc>
        <w:tc>
          <w:tcPr>
            <w:tcW w:w="2909" w:type="pct"/>
            <w:noWrap w:val="0"/>
            <w:vAlign w:val="center"/>
          </w:tcPr>
          <w:p>
            <w:pPr>
              <w:spacing w:line="300" w:lineRule="exact"/>
              <w:jc w:val="center"/>
              <w:rPr>
                <w:szCs w:val="21"/>
              </w:rPr>
            </w:pPr>
            <w:r>
              <w:rPr>
                <w:szCs w:val="21"/>
              </w:rPr>
              <w:t>可能的危险源/诱因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396" w:type="pct"/>
            <w:vMerge w:val="restart"/>
            <w:noWrap w:val="0"/>
            <w:vAlign w:val="center"/>
          </w:tcPr>
          <w:p>
            <w:pPr>
              <w:spacing w:line="300" w:lineRule="exact"/>
              <w:jc w:val="center"/>
              <w:rPr>
                <w:szCs w:val="21"/>
              </w:rPr>
            </w:pPr>
            <w:r>
              <w:rPr>
                <w:szCs w:val="21"/>
              </w:rPr>
              <w:t>危险因素</w:t>
            </w:r>
          </w:p>
        </w:tc>
        <w:tc>
          <w:tcPr>
            <w:tcW w:w="398" w:type="pct"/>
            <w:noWrap w:val="0"/>
            <w:vAlign w:val="center"/>
          </w:tcPr>
          <w:p>
            <w:pPr>
              <w:spacing w:line="300" w:lineRule="exact"/>
              <w:jc w:val="center"/>
              <w:rPr>
                <w:szCs w:val="21"/>
              </w:rPr>
            </w:pPr>
            <w:r>
              <w:rPr>
                <w:szCs w:val="21"/>
              </w:rPr>
              <w:t>1</w:t>
            </w:r>
          </w:p>
        </w:tc>
        <w:tc>
          <w:tcPr>
            <w:tcW w:w="1295" w:type="pct"/>
            <w:noWrap w:val="0"/>
            <w:vAlign w:val="center"/>
          </w:tcPr>
          <w:p>
            <w:pPr>
              <w:spacing w:line="300" w:lineRule="exact"/>
              <w:rPr>
                <w:szCs w:val="21"/>
              </w:rPr>
            </w:pPr>
            <w:r>
              <w:rPr>
                <w:szCs w:val="21"/>
              </w:rPr>
              <w:t>滚石、滑坡（坍塌）、泥石流</w:t>
            </w:r>
          </w:p>
        </w:tc>
        <w:tc>
          <w:tcPr>
            <w:tcW w:w="2909" w:type="pct"/>
            <w:noWrap w:val="0"/>
            <w:vAlign w:val="center"/>
          </w:tcPr>
          <w:p>
            <w:pPr>
              <w:spacing w:line="300" w:lineRule="exact"/>
              <w:rPr>
                <w:szCs w:val="21"/>
              </w:rPr>
            </w:pPr>
            <w:r>
              <w:rPr>
                <w:szCs w:val="21"/>
              </w:rPr>
              <w:t>露天采场、矿区内外部运输道路的边坡、矿区各类场、平台的开挖边坡等；</w:t>
            </w:r>
          </w:p>
          <w:p>
            <w:pPr>
              <w:spacing w:line="300" w:lineRule="exact"/>
              <w:rPr>
                <w:szCs w:val="21"/>
              </w:rPr>
            </w:pPr>
            <w:r>
              <w:rPr>
                <w:szCs w:val="21"/>
              </w:rPr>
              <w:t>未按设计开采形成高陡边坡，采区及采场无排水沟。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6" w:type="pct"/>
            <w:vMerge w:val="continue"/>
            <w:noWrap w:val="0"/>
            <w:vAlign w:val="center"/>
          </w:tcPr>
          <w:p>
            <w:pPr>
              <w:spacing w:line="300" w:lineRule="exact"/>
              <w:ind w:firstLine="420" w:firstLineChars="200"/>
              <w:jc w:val="center"/>
              <w:rPr>
                <w:szCs w:val="21"/>
              </w:rPr>
            </w:pPr>
          </w:p>
        </w:tc>
        <w:tc>
          <w:tcPr>
            <w:tcW w:w="398" w:type="pct"/>
            <w:noWrap w:val="0"/>
            <w:vAlign w:val="center"/>
          </w:tcPr>
          <w:p>
            <w:pPr>
              <w:spacing w:line="300" w:lineRule="exact"/>
              <w:jc w:val="center"/>
              <w:rPr>
                <w:szCs w:val="21"/>
              </w:rPr>
            </w:pPr>
            <w:r>
              <w:rPr>
                <w:szCs w:val="21"/>
              </w:rPr>
              <w:t>2</w:t>
            </w:r>
          </w:p>
        </w:tc>
        <w:tc>
          <w:tcPr>
            <w:tcW w:w="1295" w:type="pct"/>
            <w:noWrap w:val="0"/>
            <w:vAlign w:val="center"/>
          </w:tcPr>
          <w:p>
            <w:pPr>
              <w:spacing w:line="300" w:lineRule="exact"/>
              <w:rPr>
                <w:szCs w:val="21"/>
              </w:rPr>
            </w:pPr>
            <w:r>
              <w:rPr>
                <w:szCs w:val="21"/>
              </w:rPr>
              <w:t>车辆伤害</w:t>
            </w:r>
          </w:p>
        </w:tc>
        <w:tc>
          <w:tcPr>
            <w:tcW w:w="2909" w:type="pct"/>
            <w:noWrap w:val="0"/>
            <w:vAlign w:val="center"/>
          </w:tcPr>
          <w:p>
            <w:pPr>
              <w:spacing w:line="300" w:lineRule="exact"/>
              <w:rPr>
                <w:szCs w:val="21"/>
              </w:rPr>
            </w:pPr>
            <w:r>
              <w:rPr>
                <w:szCs w:val="21"/>
              </w:rPr>
              <w:t>内、外部运输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6" w:type="pct"/>
            <w:vMerge w:val="continue"/>
            <w:noWrap w:val="0"/>
            <w:vAlign w:val="center"/>
          </w:tcPr>
          <w:p>
            <w:pPr>
              <w:spacing w:line="300" w:lineRule="exact"/>
              <w:ind w:firstLine="420" w:firstLineChars="200"/>
              <w:jc w:val="center"/>
              <w:rPr>
                <w:szCs w:val="21"/>
              </w:rPr>
            </w:pPr>
          </w:p>
        </w:tc>
        <w:tc>
          <w:tcPr>
            <w:tcW w:w="398" w:type="pct"/>
            <w:noWrap w:val="0"/>
            <w:vAlign w:val="center"/>
          </w:tcPr>
          <w:p>
            <w:pPr>
              <w:spacing w:line="300" w:lineRule="exact"/>
              <w:jc w:val="center"/>
              <w:rPr>
                <w:rFonts w:hint="eastAsia"/>
                <w:szCs w:val="21"/>
              </w:rPr>
            </w:pPr>
            <w:r>
              <w:rPr>
                <w:rFonts w:hint="eastAsia"/>
                <w:szCs w:val="21"/>
              </w:rPr>
              <w:t>3</w:t>
            </w:r>
          </w:p>
        </w:tc>
        <w:tc>
          <w:tcPr>
            <w:tcW w:w="1295" w:type="pct"/>
            <w:noWrap w:val="0"/>
            <w:vAlign w:val="center"/>
          </w:tcPr>
          <w:p>
            <w:pPr>
              <w:spacing w:line="300" w:lineRule="exact"/>
              <w:rPr>
                <w:rFonts w:hint="eastAsia"/>
                <w:szCs w:val="21"/>
              </w:rPr>
            </w:pPr>
            <w:r>
              <w:rPr>
                <w:rFonts w:hint="eastAsia"/>
                <w:szCs w:val="21"/>
              </w:rPr>
              <w:t>物体打击</w:t>
            </w:r>
          </w:p>
        </w:tc>
        <w:tc>
          <w:tcPr>
            <w:tcW w:w="2909" w:type="pct"/>
            <w:noWrap w:val="0"/>
            <w:vAlign w:val="center"/>
          </w:tcPr>
          <w:p>
            <w:pPr>
              <w:spacing w:line="300" w:lineRule="exact"/>
              <w:rPr>
                <w:szCs w:val="21"/>
              </w:rPr>
            </w:pPr>
            <w:r>
              <w:rPr>
                <w:rFonts w:hint="eastAsia"/>
                <w:szCs w:val="21"/>
              </w:rPr>
              <w:t>采场边坡、</w:t>
            </w:r>
            <w:r>
              <w:rPr>
                <w:szCs w:val="21"/>
              </w:rPr>
              <w:t>高处作业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96" w:type="pct"/>
            <w:vMerge w:val="continue"/>
            <w:noWrap w:val="0"/>
            <w:vAlign w:val="center"/>
          </w:tcPr>
          <w:p>
            <w:pPr>
              <w:spacing w:line="300" w:lineRule="exact"/>
              <w:ind w:firstLine="420" w:firstLineChars="200"/>
              <w:jc w:val="center"/>
              <w:rPr>
                <w:szCs w:val="21"/>
              </w:rPr>
            </w:pPr>
          </w:p>
        </w:tc>
        <w:tc>
          <w:tcPr>
            <w:tcW w:w="398" w:type="pct"/>
            <w:noWrap w:val="0"/>
            <w:vAlign w:val="center"/>
          </w:tcPr>
          <w:p>
            <w:pPr>
              <w:spacing w:line="300" w:lineRule="exact"/>
              <w:jc w:val="center"/>
              <w:rPr>
                <w:rFonts w:hint="eastAsia"/>
                <w:szCs w:val="21"/>
              </w:rPr>
            </w:pPr>
            <w:r>
              <w:rPr>
                <w:rFonts w:hint="eastAsia"/>
                <w:szCs w:val="21"/>
              </w:rPr>
              <w:t>4</w:t>
            </w:r>
          </w:p>
        </w:tc>
        <w:tc>
          <w:tcPr>
            <w:tcW w:w="1295" w:type="pct"/>
            <w:noWrap w:val="0"/>
            <w:vAlign w:val="center"/>
          </w:tcPr>
          <w:p>
            <w:pPr>
              <w:spacing w:line="300" w:lineRule="exact"/>
              <w:rPr>
                <w:szCs w:val="21"/>
              </w:rPr>
            </w:pPr>
            <w:r>
              <w:rPr>
                <w:rFonts w:hint="eastAsia"/>
                <w:szCs w:val="21"/>
              </w:rPr>
              <w:t>高处坠落</w:t>
            </w:r>
          </w:p>
        </w:tc>
        <w:tc>
          <w:tcPr>
            <w:tcW w:w="2909" w:type="pct"/>
            <w:noWrap w:val="0"/>
            <w:vAlign w:val="center"/>
          </w:tcPr>
          <w:p>
            <w:pPr>
              <w:spacing w:line="300" w:lineRule="exact"/>
              <w:rPr>
                <w:szCs w:val="21"/>
              </w:rPr>
            </w:pPr>
            <w:r>
              <w:rPr>
                <w:rFonts w:hint="eastAsia"/>
                <w:szCs w:val="21"/>
              </w:rPr>
              <w:t>高处作业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96" w:type="pct"/>
            <w:vMerge w:val="continue"/>
            <w:noWrap w:val="0"/>
            <w:vAlign w:val="center"/>
          </w:tcPr>
          <w:p>
            <w:pPr>
              <w:spacing w:line="300" w:lineRule="exact"/>
              <w:ind w:firstLine="420" w:firstLineChars="200"/>
              <w:jc w:val="center"/>
              <w:rPr>
                <w:szCs w:val="21"/>
              </w:rPr>
            </w:pPr>
          </w:p>
        </w:tc>
        <w:tc>
          <w:tcPr>
            <w:tcW w:w="398" w:type="pct"/>
            <w:noWrap w:val="0"/>
            <w:vAlign w:val="center"/>
          </w:tcPr>
          <w:p>
            <w:pPr>
              <w:spacing w:line="300" w:lineRule="exact"/>
              <w:jc w:val="center"/>
              <w:rPr>
                <w:rFonts w:hint="eastAsia" w:eastAsia="宋体"/>
                <w:szCs w:val="21"/>
                <w:lang w:val="en-US" w:eastAsia="zh-CN"/>
              </w:rPr>
            </w:pPr>
            <w:r>
              <w:rPr>
                <w:rFonts w:hint="eastAsia"/>
                <w:szCs w:val="21"/>
                <w:lang w:val="en-US" w:eastAsia="zh-CN"/>
              </w:rPr>
              <w:t>5</w:t>
            </w:r>
          </w:p>
        </w:tc>
        <w:tc>
          <w:tcPr>
            <w:tcW w:w="1295" w:type="pct"/>
            <w:noWrap w:val="0"/>
            <w:vAlign w:val="center"/>
          </w:tcPr>
          <w:p>
            <w:pPr>
              <w:spacing w:line="300" w:lineRule="exact"/>
              <w:rPr>
                <w:rFonts w:hint="eastAsia" w:eastAsia="宋体"/>
                <w:szCs w:val="21"/>
                <w:lang w:val="en-US" w:eastAsia="zh-CN"/>
              </w:rPr>
            </w:pPr>
            <w:r>
              <w:rPr>
                <w:rFonts w:hint="eastAsia"/>
                <w:szCs w:val="21"/>
                <w:lang w:val="en-US" w:eastAsia="zh-CN"/>
              </w:rPr>
              <w:t>淹溺</w:t>
            </w:r>
          </w:p>
        </w:tc>
        <w:tc>
          <w:tcPr>
            <w:tcW w:w="2909" w:type="pct"/>
            <w:noWrap w:val="0"/>
            <w:vAlign w:val="center"/>
          </w:tcPr>
          <w:p>
            <w:pPr>
              <w:spacing w:line="300" w:lineRule="exact"/>
              <w:rPr>
                <w:rFonts w:hint="default" w:eastAsia="宋体"/>
                <w:szCs w:val="21"/>
                <w:lang w:val="en-US" w:eastAsia="zh-CN"/>
              </w:rPr>
            </w:pPr>
            <w:r>
              <w:rPr>
                <w:rFonts w:hint="eastAsia"/>
                <w:szCs w:val="21"/>
                <w:lang w:val="en-US" w:eastAsia="zh-CN"/>
              </w:rPr>
              <w:t>跌入集水池或淤泥池</w:t>
            </w:r>
          </w:p>
        </w:tc>
      </w:tr>
    </w:tbl>
    <w:p>
      <w:pPr>
        <w:pStyle w:val="5"/>
        <w:bidi w:val="0"/>
        <w:rPr>
          <w:lang w:eastAsia="zh-CN"/>
        </w:rPr>
      </w:pPr>
      <w:bookmarkStart w:id="219" w:name="_Toc504765753"/>
      <w:bookmarkStart w:id="220" w:name="_Toc102829704"/>
      <w:bookmarkStart w:id="221" w:name="_Toc11224"/>
      <w:bookmarkStart w:id="222" w:name="_Toc4412"/>
      <w:r>
        <w:rPr>
          <w:lang w:eastAsia="zh-CN"/>
        </w:rPr>
        <w:t>3.2.</w:t>
      </w:r>
      <w:r>
        <w:rPr>
          <w:rFonts w:hint="eastAsia"/>
          <w:lang w:eastAsia="zh-CN"/>
        </w:rPr>
        <w:t>2</w:t>
      </w:r>
      <w:r>
        <w:rPr>
          <w:lang w:eastAsia="zh-CN"/>
        </w:rPr>
        <w:t>矿山生产过程中危险、有害因素</w:t>
      </w:r>
      <w:bookmarkEnd w:id="219"/>
      <w:bookmarkEnd w:id="220"/>
      <w:bookmarkEnd w:id="221"/>
      <w:bookmarkEnd w:id="222"/>
    </w:p>
    <w:p>
      <w:pPr>
        <w:pStyle w:val="6"/>
        <w:bidi w:val="0"/>
        <w:rPr>
          <w:lang w:eastAsia="zh-CN"/>
        </w:rPr>
      </w:pPr>
      <w:r>
        <w:rPr>
          <w:lang w:eastAsia="zh-CN"/>
        </w:rPr>
        <w:t>3.2.2.1边坡失稳</w:t>
      </w:r>
      <w:r>
        <w:rPr>
          <w:rFonts w:hint="eastAsia"/>
          <w:lang w:eastAsia="zh-CN"/>
        </w:rPr>
        <w:t>（</w:t>
      </w:r>
      <w:r>
        <w:rPr>
          <w:lang w:eastAsia="zh-CN"/>
        </w:rPr>
        <w:t>坍塌</w:t>
      </w:r>
      <w:r>
        <w:rPr>
          <w:rFonts w:hint="eastAsia"/>
          <w:lang w:eastAsia="zh-CN"/>
        </w:rPr>
        <w:t>、</w:t>
      </w:r>
      <w:r>
        <w:rPr>
          <w:lang w:eastAsia="zh-CN"/>
        </w:rPr>
        <w:t>滑坡</w:t>
      </w:r>
      <w:r>
        <w:rPr>
          <w:rFonts w:hint="eastAsia"/>
          <w:lang w:eastAsia="zh-CN"/>
        </w:rPr>
        <w:t>）</w:t>
      </w:r>
      <w:r>
        <w:rPr>
          <w:lang w:eastAsia="zh-CN"/>
        </w:rPr>
        <w:t>、泥石流</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sz w:val="28"/>
          <w:szCs w:val="28"/>
        </w:rPr>
      </w:pPr>
      <w:bookmarkStart w:id="223" w:name="_Toc418847795"/>
      <w:r>
        <w:rPr>
          <w:sz w:val="28"/>
          <w:szCs w:val="28"/>
        </w:rPr>
        <w:t>根据矿山生产现状，</w:t>
      </w:r>
      <w:r>
        <w:rPr>
          <w:rFonts w:hint="eastAsia"/>
          <w:sz w:val="28"/>
          <w:szCs w:val="28"/>
          <w:lang w:eastAsia="zh-CN"/>
        </w:rPr>
        <w:t>牟定共和西山寺砂场</w:t>
      </w:r>
      <w:r>
        <w:rPr>
          <w:rFonts w:hint="default"/>
          <w:sz w:val="28"/>
          <w:szCs w:val="28"/>
        </w:rPr>
        <w:t>为露天开采，采用公路开拓汽车运输，挖掘机配合装载机进行铲装。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rFonts w:hint="default"/>
          <w:sz w:val="28"/>
          <w:szCs w:val="28"/>
        </w:rPr>
        <w:t>露天矿坍塌（滑坡）事故发生的主要原因有：由于生产过程中露天采场边坡参数不合理、无清扫平台；节理、裂隙发育；采场清扫平台没有设置排水设施或设施损坏、边坡管理不当等，都易造成边坡失稳、坍塌（滑坡）的危险，雨季可能产生泥石流，作业前未对坡面危岩、孤石进行清理，可能危及作业人员和设备、生产安全</w:t>
      </w:r>
      <w:r>
        <w:rPr>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sz w:val="28"/>
          <w:szCs w:val="28"/>
        </w:rPr>
        <w:t>可能存在的部位：采场边坡、地表山坡地段等。</w:t>
      </w:r>
    </w:p>
    <w:p>
      <w:pPr>
        <w:pStyle w:val="6"/>
        <w:bidi w:val="0"/>
      </w:pPr>
      <w:r>
        <w:rPr>
          <w:lang w:eastAsia="zh-CN"/>
        </w:rPr>
        <w:t>3.2.2.</w:t>
      </w:r>
      <w:r>
        <w:rPr>
          <w:rFonts w:hint="eastAsia"/>
          <w:lang w:val="en-US" w:eastAsia="zh-CN"/>
        </w:rPr>
        <w:t>2</w:t>
      </w:r>
      <w:r>
        <w:rPr>
          <w:lang w:eastAsia="zh-CN"/>
        </w:rPr>
        <w:t>高处坠落</w:t>
      </w:r>
      <w:bookmarkEnd w:id="223"/>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高处坠落是指在高处作业中发生坠落造成的伤亡事故。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部分平台作业面边坡超高，未设置安全平台及无清扫平台，在台阶上进行剥离、开采、铲装、清理浮石等；在陡壁悬崖边作业时，人员、设备防护不好等均可能发生高处坠落伤亡事故。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高于地面2m(含2m)以上作业平台无安全护栏、通往平台的通道无踏步和安全护栏等，均可能发生高处坠落伤亡事故。为此，必须对诱发高处坠落事故的原因加以防范。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产生高处坠落的诱因为：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（1）因采场危险区域内及采场顶部未设置安全警示标志，外来人员、牲畜进入采场上部危险区域；</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（2）在边坡上进行高处作业人员没有按要求使用安全带或安全绳、安全带未正确、牢靠固定即进行作业，由于失重、大风或作业人员生理因素差等导致作业人员坠落，而造成伤亡事故；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（3）高处作业未制定作业规程，现场安全管理不到位；或作业人员疏忽大意，疲劳过度；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（4）高处作业时安全防护设施损坏或高处作业时无人监护或主观判断失误等。</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可能存在的部位：该项目高处坠落主要存在于边坡作业各类相对于坠落基准面2m及以上的作业平台等处，易发生高处坠落伤亡事故。</w:t>
      </w:r>
    </w:p>
    <w:p>
      <w:pPr>
        <w:pStyle w:val="6"/>
        <w:bidi w:val="0"/>
        <w:rPr>
          <w:rFonts w:hint="eastAsia"/>
          <w:lang w:val="en-US" w:eastAsia="zh-CN"/>
        </w:rPr>
      </w:pPr>
      <w:bookmarkStart w:id="224" w:name="_Toc418847799"/>
      <w:r>
        <w:rPr>
          <w:lang w:eastAsia="zh-CN"/>
        </w:rPr>
        <w:t>3.2.2.</w:t>
      </w:r>
      <w:r>
        <w:rPr>
          <w:rFonts w:hint="eastAsia"/>
          <w:lang w:val="en-US" w:eastAsia="zh-CN"/>
        </w:rPr>
        <w:t>3 物体打击</w:t>
      </w:r>
      <w:bookmarkEnd w:id="224"/>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物体打击是指物体在重力或其它外力的作用下产生运动，打击人体造成人身伤亡事故。造成物体打击伤害的原因多种多样，主要有：</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（1）超高边坡（大于机械作业高度）机械无法进行浮石清理、边坡浮石清理不及时、排浮不净或排浮不按规程操作；单人作业等；</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（2）铲装作业过程中，司机操作失误或违章作业；在边坡、铲装半径内坐卧、停留；挖掘机检修操作失误，滚石伤人；采场多台阶作业时，上部台阶滚石引发的物体打击；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（3）采场未圈定危险范围，未设立安全警示标志或标志不明显，人员进入危险区；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bookmarkStart w:id="225" w:name="_Toc418847800"/>
      <w:r>
        <w:rPr>
          <w:rFonts w:hint="eastAsia" w:ascii="宋体" w:hAnsi="宋体" w:eastAsia="宋体" w:cs="宋体"/>
          <w:sz w:val="28"/>
          <w:szCs w:val="28"/>
        </w:rPr>
        <w:t>（4）安全帽等劳保用品穿戴不齐或未按照规范佩戴等；</w:t>
      </w:r>
      <w:bookmarkEnd w:id="225"/>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（5）台阶上下同时作业时，上部台阶坠物及滚石可能对下部台阶的作业人员造成伤害；</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可能发生的部位：本项目可能发生物体打击的部位为铲装作业面。</w:t>
      </w:r>
    </w:p>
    <w:p>
      <w:pPr>
        <w:pStyle w:val="6"/>
        <w:bidi w:val="0"/>
        <w:rPr>
          <w:rFonts w:hint="eastAsia" w:ascii="宋体" w:hAnsi="宋体" w:eastAsia="宋体" w:cs="宋体"/>
          <w:snapToGrid w:val="0"/>
          <w:color w:val="auto"/>
          <w:lang w:val="en-US" w:eastAsia="zh-CN" w:bidi="ar-SA"/>
        </w:rPr>
      </w:pPr>
      <w:bookmarkStart w:id="226" w:name="_Toc418847801"/>
      <w:r>
        <w:rPr>
          <w:lang w:eastAsia="zh-CN"/>
        </w:rPr>
        <w:t>3.2.2.</w:t>
      </w:r>
      <w:r>
        <w:rPr>
          <w:rFonts w:hint="eastAsia"/>
          <w:lang w:val="en-US" w:eastAsia="zh-CN"/>
        </w:rPr>
        <w:t>4车辆伤害</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车辆伤害是指企业机动车辆在行驶中引起的人体坠落和物体倒塌、下落、挤压伤亡事故。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场内运输、装载设备有故障、操作失误或指挥不当，有造成车辆伤害的危险；驾驶员违章驾驶等也会造成车辆伤害。车辆伤害在本项目中包括挖掘机、装载机车辆的伤害。</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（1）露天铲装运输过程中，由于违章载人、违章作业或作业场地狭窄而导致人员坠落或铲装设备倾翻引发的伤亡事故；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车辆在行驶过程中，由于道路坡陡弯急、行车速度快、车辆故障、制动失灵、信号标志缺失、运输线路及路面设计不合理、道路局部坍塌、下沉、路况质量差、狭窄、路不平、雨季冲刷严重等，易发生翻车、撞坏设备和撞伤人员等车辆伤害事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（3）疲劳驾驶、酒后驾驶、人货混装驾驶等违章作业；</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（4）雨天运输车辆未采取防滑措施。</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可能存在的部位：本项目可能发生车辆伤害的部位为铲装作业工作面、工业场地道路较窄坡度过陡的地段。</w:t>
      </w:r>
    </w:p>
    <w:p>
      <w:pPr>
        <w:pStyle w:val="6"/>
        <w:bidi w:val="0"/>
        <w:rPr>
          <w:rFonts w:hint="eastAsia"/>
          <w:lang w:val="en-US" w:eastAsia="zh-CN"/>
        </w:rPr>
      </w:pPr>
      <w:r>
        <w:rPr>
          <w:lang w:eastAsia="zh-CN"/>
        </w:rPr>
        <w:t>3.2.2.</w:t>
      </w:r>
      <w:r>
        <w:rPr>
          <w:rFonts w:hint="eastAsia"/>
          <w:lang w:val="en-US" w:eastAsia="zh-CN"/>
        </w:rPr>
        <w:t>5机械伤害</w:t>
      </w:r>
      <w:bookmarkEnd w:id="226"/>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机械伤害是指机械设备运动(静止)部件、工具、加工件直接与人体接触引起的夹击、碰撞、剪切、卷入、绞、碾、割、刺等伤害，不包括车辆、起重机械引起的机械伤害。</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在生产期间使用多种机械设备如：制砖机、破碎机等，所有这些机械设备在使用过程中，由于各种原因，经常导致机械伤害事故的发生。常见的因素有：</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（1）所选用设备在设计上存在先天不足(如强度不够、设计缺陷等)；</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（2）矿山作业人员违章操作及穿戴不符合安全规定的劳动防护用品进行操作；</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（3）机械设备安全防护装置缺乏或损坏或被拆除等，导致事故发生；</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bookmarkStart w:id="227" w:name="_Toc418847802"/>
      <w:r>
        <w:rPr>
          <w:rFonts w:hint="eastAsia" w:ascii="宋体" w:hAnsi="宋体" w:eastAsia="宋体" w:cs="宋体"/>
          <w:sz w:val="28"/>
          <w:szCs w:val="28"/>
        </w:rPr>
        <w:t>（4）操作人员疏忽大意，身体进入机械危险部位；</w:t>
      </w:r>
      <w:bookmarkEnd w:id="227"/>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（5）在挖掘机、装载机、破碎机等的检修时，机器突然被别人随意启动，导致事故发生；</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（6）在不安全的机械上停留、休息，导致事故发生；安全管理存在疏漏。</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可能存在的部位：本项目可能发生机械伤害的部分为铲装设备检维修、破碎加工过程中。</w:t>
      </w:r>
    </w:p>
    <w:p>
      <w:pPr>
        <w:pStyle w:val="6"/>
        <w:bidi w:val="0"/>
        <w:rPr>
          <w:rFonts w:hint="eastAsia"/>
          <w:lang w:val="en-US" w:eastAsia="zh-CN"/>
        </w:rPr>
      </w:pPr>
      <w:bookmarkStart w:id="228" w:name="_Toc418847805"/>
      <w:r>
        <w:rPr>
          <w:lang w:eastAsia="zh-CN"/>
        </w:rPr>
        <w:t>3.2.2.</w:t>
      </w:r>
      <w:r>
        <w:rPr>
          <w:rFonts w:hint="eastAsia"/>
          <w:lang w:val="en-US" w:eastAsia="zh-CN"/>
        </w:rPr>
        <w:t>6火灾</w:t>
      </w:r>
      <w:bookmarkEnd w:id="228"/>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火灾按其产生的原因分为电气火灾及明火引起的火灾。</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可能产生火灾的条件体现在：施工机械使用的油品具有发生火灾的危险，挖掘机、装载机、汽车等移动设备因违规操作、缺乏消防灭火设施等，有发生火灾的可能；当电动机及其控制装置或其它电气设备内部线路的绝缘破坏时将导致短路、检修过程中使用临时照明电源或其他临时用电时发生短路以及线路过电流有可能引发电气火灾。</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（2）由于电缆电线开关布置凌乱，线路陈旧破损，电线短路、设备故障、雷电等导致电缆着火或胶带着火而发生火灾。在火灾发生后还会</w:t>
      </w:r>
      <w:r>
        <w:rPr>
          <w:rFonts w:hint="eastAsia" w:ascii="宋体" w:hAnsi="宋体" w:eastAsia="宋体" w:cs="宋体"/>
          <w:sz w:val="28"/>
          <w:szCs w:val="28"/>
          <w:lang w:val="en-US" w:eastAsia="zh-CN"/>
        </w:rPr>
        <w:t>伴有</w:t>
      </w:r>
      <w:r>
        <w:rPr>
          <w:rFonts w:hint="eastAsia" w:ascii="宋体" w:hAnsi="宋体" w:eastAsia="宋体" w:cs="宋体"/>
          <w:sz w:val="28"/>
          <w:szCs w:val="28"/>
        </w:rPr>
        <w:t>中毒窒息或爆炸事故的发生。如果配电室电器设施设备长期未清扫积炭，发生短路而引发的火灾。</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可能存在的部位：本项目可能发生火灾的部位及设备为机械设备、电气设备、供电线路、生活区。</w:t>
      </w:r>
    </w:p>
    <w:p>
      <w:pPr>
        <w:pStyle w:val="6"/>
        <w:bidi w:val="0"/>
        <w:rPr>
          <w:rFonts w:hint="eastAsia" w:ascii="宋体" w:hAnsi="宋体" w:eastAsia="宋体" w:cs="宋体"/>
          <w:snapToGrid w:val="0"/>
          <w:color w:val="auto"/>
          <w:lang w:val="en-US" w:eastAsia="zh-CN" w:bidi="ar-SA"/>
        </w:rPr>
      </w:pPr>
      <w:bookmarkStart w:id="229" w:name="_Toc469651422"/>
      <w:bookmarkStart w:id="230" w:name="_Toc24734"/>
      <w:bookmarkStart w:id="231" w:name="_Toc418847804"/>
      <w:r>
        <w:rPr>
          <w:lang w:eastAsia="zh-CN"/>
        </w:rPr>
        <w:t>3.2.2.</w:t>
      </w:r>
      <w:r>
        <w:rPr>
          <w:rFonts w:hint="eastAsia"/>
          <w:lang w:val="en-US" w:eastAsia="zh-CN"/>
        </w:rPr>
        <w:t>7触电</w:t>
      </w:r>
      <w:bookmarkEnd w:id="229"/>
      <w:bookmarkEnd w:id="230"/>
      <w:bookmarkEnd w:id="231"/>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在生产过程中可能会发生触电事故，引起触电事故的主要原因，除了设备缺陷等技术因素外，大部分是由于违章指挥、违章操作引起的。常见的触电事故因素有：</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（1）照明线路及动力线路架线高度不够或未按设计施工架设，电缆铺设不规范，电路或开关接头裸露、电缆电线破损等。</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（2）电气设备质量缺陷或未按规定接零。线路磨损、压破绝缘层使外壳带电，设备缺少漏电保护等防护装置。</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（3）检修作业不填写操作票或不执行监护制度，使用不合格绝缘工具和电气工具。</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（4）线路或电气设备工作完毕，未办理工作票终结手续，就对停电设备恢复送电。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（5）在带电设备附近进行作业，不符合安全距离或无监护措施。</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（6）跨越安全围栏或超越安全警戒线，工作人员走错间隔误碰带电设备，以及在带电设备附近使用钢卷尺等进行测量或携带金属超高物体在带电设备下行走。</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（7）绝缘胶鞋破损透水，作业者身体或工具碰到带电设备或线路上。</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（8）缺少标志或标志不明显。</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（9）工作人员擅自扩大工作范围。</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（10）使用电动工具不戴绝缘手套。</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（11）在潮湿地区、金属容器内工作不穿绝缘鞋，无绝缘垫，无监护人。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（12）电气作业的安全管理工作存在漏洞。</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可能存在的部位：本项目采场生产过程中可能发生触电的部位或场所为电气设备、变压器、办公生活区。</w:t>
      </w:r>
    </w:p>
    <w:p>
      <w:pPr>
        <w:pStyle w:val="6"/>
        <w:bidi w:val="0"/>
        <w:rPr>
          <w:rFonts w:hint="eastAsia" w:ascii="宋体" w:hAnsi="宋体" w:eastAsia="宋体" w:cs="宋体"/>
          <w:snapToGrid w:val="0"/>
          <w:color w:val="auto"/>
          <w:lang w:val="en-US" w:eastAsia="zh-CN" w:bidi="ar-SA"/>
        </w:rPr>
      </w:pPr>
      <w:bookmarkStart w:id="232" w:name="_Toc418847806"/>
      <w:r>
        <w:rPr>
          <w:lang w:eastAsia="zh-CN"/>
        </w:rPr>
        <w:t>3.2.2.</w:t>
      </w:r>
      <w:r>
        <w:rPr>
          <w:rFonts w:hint="eastAsia"/>
          <w:lang w:val="en-US" w:eastAsia="zh-CN"/>
        </w:rPr>
        <w:t>8雷电危害</w:t>
      </w:r>
      <w:bookmarkEnd w:id="232"/>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采场应避免雷电伤害。</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雷电伤害方式和途径分析：</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（1）伤害方式：爆炸、火灾、电击、毁坏设备、设施等。</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（2）伤害途径：直接雷击、雷电感应、雷电波的电性质、热性质、机械性质的破坏作用引起。</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雷电伤害产生的原因分析：</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1)防雷接地装置设计不合理；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2)防雷接地装置使用不当，存在缺陷；</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3)防雷接地装置失效，接地电阻不符合要求；</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4)缺乏必要的人身防雷安全知识；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rFonts w:hint="eastAsia" w:ascii="宋体" w:hAnsi="宋体" w:eastAsia="宋体" w:cs="宋体"/>
          <w:sz w:val="28"/>
          <w:szCs w:val="28"/>
        </w:rPr>
        <w:t>本项目雷电危害主要存在于露天采场。</w:t>
      </w:r>
    </w:p>
    <w:p>
      <w:pPr>
        <w:pStyle w:val="6"/>
        <w:bidi w:val="0"/>
        <w:rPr>
          <w:rFonts w:hint="eastAsia"/>
          <w:lang w:val="en-US" w:eastAsia="zh-CN"/>
        </w:rPr>
      </w:pPr>
      <w:r>
        <w:rPr>
          <w:lang w:eastAsia="zh-CN"/>
        </w:rPr>
        <w:t>3.2.2.</w:t>
      </w:r>
      <w:r>
        <w:rPr>
          <w:rFonts w:hint="eastAsia"/>
          <w:lang w:val="en-US" w:eastAsia="zh-CN"/>
        </w:rPr>
        <w:t>9粉尘</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sz w:val="28"/>
          <w:szCs w:val="28"/>
        </w:rPr>
        <w:t>生产过程中产生细粒状矿物或岩石粉尘。粉尘对空气的污染和人体健康的危害最大，是防尘的重点对象。产生粉尘的原因主要是采挖、铲装时的扰动、大风扬尘等。若在开采过程中不采取降尘、抑尘和个人防护等安全措施，轻则影响从业人员的身体健康，重则导致尘肺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sz w:val="28"/>
          <w:szCs w:val="28"/>
        </w:rPr>
        <w:t>主要产尘点分布在采场工作面、铲装作业区、运输道路、破碎工作面。</w:t>
      </w:r>
    </w:p>
    <w:p>
      <w:pPr>
        <w:pStyle w:val="6"/>
        <w:bidi w:val="0"/>
        <w:rPr>
          <w:rFonts w:hint="eastAsia"/>
          <w:b/>
          <w:bCs/>
          <w:szCs w:val="28"/>
        </w:rPr>
      </w:pPr>
      <w:r>
        <w:rPr>
          <w:rFonts w:hint="eastAsia"/>
          <w:lang w:val="en-US" w:eastAsia="zh-CN"/>
        </w:rPr>
        <w:t>3.2.2.10</w:t>
      </w:r>
      <w:r>
        <w:rPr>
          <w:rFonts w:hint="eastAsia"/>
        </w:rPr>
        <w:t>采场生产过程中危险、有害因素小结</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sz w:val="28"/>
          <w:szCs w:val="28"/>
        </w:rPr>
      </w:pPr>
      <w:r>
        <w:rPr>
          <w:rFonts w:hint="eastAsia"/>
          <w:sz w:val="28"/>
          <w:szCs w:val="28"/>
        </w:rPr>
        <w:t>场生产过程中的危险、有害因素有边坡失稳（坍塌、滑坡或滚石）、高处坠落、物体打击、车辆伤害、机械伤害、火灾、触电、其它伤害（粉尘、噪声）等，这些因素均与矿山是否规范开采，以及是否加强安全生产管理有直接关系。因此，矿山应严格按照设计和露天采矿的相关规定规范进行开采，加强安全管理，现场监督。</w:t>
      </w:r>
    </w:p>
    <w:p>
      <w:pPr>
        <w:pStyle w:val="5"/>
        <w:bidi w:val="0"/>
        <w:rPr>
          <w:rFonts w:hint="eastAsia"/>
          <w:lang w:eastAsia="zh-CN"/>
        </w:rPr>
      </w:pPr>
      <w:bookmarkStart w:id="233" w:name="_Toc349113990"/>
      <w:bookmarkStart w:id="234" w:name="_Toc418847811"/>
      <w:bookmarkStart w:id="235" w:name="_Toc9005"/>
      <w:bookmarkStart w:id="236" w:name="_Toc27679255"/>
      <w:bookmarkStart w:id="237" w:name="_Toc16630"/>
      <w:bookmarkStart w:id="238" w:name="_Toc1112"/>
      <w:r>
        <w:rPr>
          <w:rFonts w:hint="eastAsia"/>
          <w:lang w:eastAsia="zh-CN"/>
        </w:rPr>
        <w:t>3.</w:t>
      </w:r>
      <w:r>
        <w:rPr>
          <w:rFonts w:hint="eastAsia"/>
          <w:lang w:val="en-US" w:eastAsia="zh-CN"/>
        </w:rPr>
        <w:t>2</w:t>
      </w:r>
      <w:r>
        <w:rPr>
          <w:rFonts w:hint="eastAsia"/>
          <w:lang w:eastAsia="zh-CN"/>
        </w:rPr>
        <w:t>.</w:t>
      </w:r>
      <w:bookmarkEnd w:id="233"/>
      <w:bookmarkEnd w:id="234"/>
      <w:r>
        <w:rPr>
          <w:rFonts w:hint="eastAsia"/>
          <w:lang w:val="en-US" w:eastAsia="zh-CN"/>
        </w:rPr>
        <w:t>3</w:t>
      </w:r>
      <w:r>
        <w:rPr>
          <w:rFonts w:hint="eastAsia"/>
          <w:lang w:eastAsia="zh-CN"/>
        </w:rPr>
        <w:t>公辅设施危险有害因素辨识与分析</w:t>
      </w:r>
      <w:bookmarkEnd w:id="235"/>
      <w:bookmarkEnd w:id="236"/>
      <w:bookmarkEnd w:id="237"/>
      <w:bookmarkEnd w:id="238"/>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sz w:val="28"/>
          <w:szCs w:val="28"/>
        </w:rPr>
      </w:pPr>
      <w:bookmarkStart w:id="239" w:name="_Toc469651428"/>
      <w:bookmarkStart w:id="240" w:name="_Toc418847812"/>
      <w:bookmarkStart w:id="241" w:name="_Toc349113992"/>
      <w:bookmarkStart w:id="242" w:name="_Toc418847813"/>
      <w:r>
        <w:rPr>
          <w:b/>
          <w:bCs/>
          <w:sz w:val="28"/>
          <w:szCs w:val="28"/>
        </w:rPr>
        <w:t>1、供排水危险、有害因素</w:t>
      </w:r>
      <w:bookmarkEnd w:id="239"/>
      <w:bookmarkEnd w:id="240"/>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sz w:val="28"/>
          <w:szCs w:val="28"/>
        </w:rPr>
        <w:t>供排水工程危险有害因素主要体现在：水源水质、生产污水、生活废水排放污染环境及矿山、各种场地、生活区的防排水设施管理不当产生滑坡等地质灾害。采场排水沟</w:t>
      </w:r>
      <w:r>
        <w:rPr>
          <w:rFonts w:hint="eastAsia"/>
          <w:sz w:val="28"/>
          <w:szCs w:val="28"/>
        </w:rPr>
        <w:t>设置不完善</w:t>
      </w:r>
      <w:r>
        <w:rPr>
          <w:sz w:val="28"/>
          <w:szCs w:val="28"/>
        </w:rPr>
        <w:t>，雨季雨水冲刷坡面，造成边坡失稳、滑坡等地质灾害。</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b/>
          <w:bCs/>
          <w:sz w:val="28"/>
          <w:szCs w:val="28"/>
        </w:rPr>
      </w:pPr>
      <w:bookmarkStart w:id="243" w:name="_Toc469651429"/>
      <w:r>
        <w:rPr>
          <w:b/>
          <w:bCs/>
          <w:sz w:val="28"/>
          <w:szCs w:val="28"/>
        </w:rPr>
        <w:t>2、供配电危险、有害因素</w:t>
      </w:r>
      <w:bookmarkEnd w:id="243"/>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sz w:val="28"/>
          <w:szCs w:val="28"/>
        </w:rPr>
      </w:pPr>
      <w:r>
        <w:rPr>
          <w:rFonts w:hint="default"/>
          <w:sz w:val="28"/>
          <w:szCs w:val="28"/>
        </w:rPr>
        <w:t>按照电气事故的性质将本项目危险因素划分为触电、电气火灾等几种类型。</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sz w:val="28"/>
          <w:szCs w:val="28"/>
        </w:rPr>
      </w:pPr>
      <w:r>
        <w:rPr>
          <w:rFonts w:hint="default"/>
          <w:sz w:val="28"/>
          <w:szCs w:val="28"/>
        </w:rPr>
        <w:t>（1）触电（含电击、电伤）：</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sz w:val="28"/>
          <w:szCs w:val="28"/>
        </w:rPr>
      </w:pPr>
      <w:r>
        <w:rPr>
          <w:rFonts w:hint="default"/>
          <w:sz w:val="28"/>
          <w:szCs w:val="28"/>
        </w:rPr>
        <w:t>在矿区采区各种电气设备、移动电气设备和场所存在直接和间接触电的危险。</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sz w:val="28"/>
          <w:szCs w:val="28"/>
        </w:rPr>
      </w:pPr>
      <w:r>
        <w:rPr>
          <w:rFonts w:hint="default"/>
          <w:sz w:val="28"/>
          <w:szCs w:val="28"/>
        </w:rPr>
        <w:t>1）电气设施、电气线路或电气设备在设计、安装上存在缺陷，或在运行过程中，缺乏必要的检修维护，使设备或线路存在漏电、过热、短路、接头松脱、断线碰壳、绝缘老化、绝缘击穿、绝缘损坏、断线等隐患；</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sz w:val="28"/>
          <w:szCs w:val="28"/>
        </w:rPr>
      </w:pPr>
      <w:r>
        <w:rPr>
          <w:rFonts w:hint="default"/>
          <w:sz w:val="28"/>
          <w:szCs w:val="28"/>
        </w:rPr>
        <w:t>2）未采取必要的安全技术措施（如：地表电气设施的接零、接地；电气设施的接地保护；漏电保护；过流保护；短路及欠压保护；错向闭锁；松绳保护；闸瓦磨损保护；测速回路断电保护；直流主电机的失磁保护；制动油及润滑回路故障保护；电气制动电流消失保护；操纵手柄不在“0”位、工作制动手柄不在全抱闸位置，不能解除安全制动联锁；未接到工作信号，不能起动的联锁）或安全技术措施失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sz w:val="28"/>
          <w:szCs w:val="28"/>
        </w:rPr>
      </w:pPr>
      <w:r>
        <w:rPr>
          <w:rFonts w:hint="default"/>
          <w:sz w:val="28"/>
          <w:szCs w:val="28"/>
        </w:rPr>
        <w:t>3）电气设备运行管理不当，电气安全管理制度不完善；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sz w:val="28"/>
          <w:szCs w:val="28"/>
        </w:rPr>
      </w:pPr>
      <w:r>
        <w:rPr>
          <w:rFonts w:hint="default"/>
          <w:sz w:val="28"/>
          <w:szCs w:val="28"/>
        </w:rPr>
        <w:t>4）电工、机电设备操作人员操作失误，或违章作业等。</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sz w:val="28"/>
          <w:szCs w:val="28"/>
        </w:rPr>
      </w:pPr>
      <w:r>
        <w:rPr>
          <w:rFonts w:hint="default"/>
          <w:sz w:val="28"/>
          <w:szCs w:val="28"/>
        </w:rPr>
        <w:t>（2）电气火灾和爆炸危险：</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sz w:val="28"/>
          <w:szCs w:val="28"/>
        </w:rPr>
      </w:pPr>
      <w:r>
        <w:rPr>
          <w:rFonts w:hint="default"/>
          <w:sz w:val="28"/>
          <w:szCs w:val="28"/>
        </w:rPr>
        <w:t>在矿区移动电气设备、供电线路及照明器具等环节和场所均存在直接和间接触电的危险。</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sz w:val="28"/>
          <w:szCs w:val="28"/>
        </w:rPr>
      </w:pPr>
      <w:r>
        <w:rPr>
          <w:rFonts w:hint="default"/>
          <w:sz w:val="28"/>
          <w:szCs w:val="28"/>
        </w:rPr>
        <w:t>1）电气火灾和爆炸的伤害方式及途径如下：</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sz w:val="28"/>
          <w:szCs w:val="28"/>
        </w:rPr>
      </w:pPr>
      <w:r>
        <w:rPr>
          <w:rFonts w:hint="default"/>
          <w:sz w:val="28"/>
          <w:szCs w:val="28"/>
        </w:rPr>
        <w:t>①伤害方式：发生火灾和爆炸或引发大面积火灾和爆炸，造成人员烧伤、烫伤、撞伤、中毒、窒息或死亡，设备、设施毁坏；</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sz w:val="28"/>
          <w:szCs w:val="28"/>
        </w:rPr>
      </w:pPr>
      <w:r>
        <w:rPr>
          <w:rFonts w:hint="default"/>
          <w:sz w:val="28"/>
          <w:szCs w:val="28"/>
        </w:rPr>
        <w:t>②伤害途径：冲击波、火焰飞溅物在一定范围内造成死亡和破坏；高温气体、有毒气体与人体直接接触。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sz w:val="28"/>
          <w:szCs w:val="28"/>
        </w:rPr>
      </w:pPr>
      <w:r>
        <w:rPr>
          <w:rFonts w:hint="default"/>
          <w:sz w:val="28"/>
          <w:szCs w:val="28"/>
        </w:rPr>
        <w:t>2）电气火灾产生的原因如下：</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sz w:val="28"/>
          <w:szCs w:val="28"/>
        </w:rPr>
      </w:pPr>
      <w:r>
        <w:rPr>
          <w:rFonts w:hint="default"/>
          <w:sz w:val="28"/>
          <w:szCs w:val="28"/>
        </w:rPr>
        <w:t>①由于电气设备设计不合理、安装存在缺陷或运行时短路、过载、接触不良、铁芯短、散热不良、漏电等导致过热；</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sz w:val="28"/>
          <w:szCs w:val="28"/>
        </w:rPr>
      </w:pPr>
      <w:r>
        <w:rPr>
          <w:rFonts w:hint="default"/>
          <w:sz w:val="28"/>
          <w:szCs w:val="28"/>
        </w:rPr>
        <w:t>②电热器具和照明灯具形成引燃源；</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rFonts w:hint="default"/>
          <w:sz w:val="28"/>
          <w:szCs w:val="28"/>
        </w:rPr>
        <w:t>③电火花和电弧。包括电气设备正常工作或操作过程中产生的电火花、电气设备或电气线路故障时产生的事故电火花、雷电放电产生的电弧、静电火花等</w:t>
      </w:r>
      <w:r>
        <w:rPr>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b/>
          <w:bCs/>
          <w:sz w:val="28"/>
          <w:szCs w:val="28"/>
        </w:rPr>
      </w:pPr>
      <w:r>
        <w:rPr>
          <w:rFonts w:hint="eastAsia"/>
          <w:b/>
          <w:bCs/>
          <w:sz w:val="28"/>
          <w:szCs w:val="28"/>
        </w:rPr>
        <w:t>3、公辅设施危险有害因素辨识与分析小结</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rFonts w:hint="eastAsia"/>
          <w:sz w:val="28"/>
          <w:szCs w:val="28"/>
        </w:rPr>
        <w:t>公辅设施方面主要为矿山供排水和供配电，矿山应完善</w:t>
      </w:r>
      <w:r>
        <w:rPr>
          <w:sz w:val="28"/>
          <w:szCs w:val="28"/>
        </w:rPr>
        <w:t>采场排水</w:t>
      </w:r>
      <w:r>
        <w:rPr>
          <w:rFonts w:hint="eastAsia"/>
          <w:sz w:val="28"/>
          <w:szCs w:val="28"/>
        </w:rPr>
        <w:t>设施并定期进行检查维护</w:t>
      </w:r>
      <w:r>
        <w:rPr>
          <w:sz w:val="28"/>
          <w:szCs w:val="28"/>
        </w:rPr>
        <w:t>，</w:t>
      </w:r>
      <w:r>
        <w:rPr>
          <w:rFonts w:hint="eastAsia"/>
          <w:sz w:val="28"/>
          <w:szCs w:val="28"/>
        </w:rPr>
        <w:t>加强日常安全检测，特别是</w:t>
      </w:r>
      <w:r>
        <w:rPr>
          <w:sz w:val="28"/>
          <w:szCs w:val="28"/>
        </w:rPr>
        <w:t>雨季</w:t>
      </w:r>
      <w:r>
        <w:rPr>
          <w:rFonts w:hint="eastAsia"/>
          <w:sz w:val="28"/>
          <w:szCs w:val="28"/>
        </w:rPr>
        <w:t>安全检查和监测。同时加强供配电设施的安全管理，设置必要的安全防护设施和安全警示，配置必要的消防设备，有效预防电气火灾。</w:t>
      </w:r>
    </w:p>
    <w:p>
      <w:pPr>
        <w:pStyle w:val="5"/>
        <w:bidi w:val="0"/>
        <w:rPr>
          <w:rFonts w:hint="eastAsia" w:ascii="宋体" w:hAnsi="宋体" w:cs="Times New Roman"/>
          <w:color w:val="auto"/>
          <w:kern w:val="2"/>
          <w:szCs w:val="28"/>
          <w:lang w:eastAsia="zh-CN" w:bidi="ar-SA"/>
        </w:rPr>
      </w:pPr>
      <w:bookmarkStart w:id="244" w:name="_Toc27679256"/>
      <w:bookmarkStart w:id="245" w:name="_Toc31241"/>
      <w:bookmarkStart w:id="246" w:name="_Toc18788"/>
      <w:bookmarkStart w:id="247" w:name="_Toc27245"/>
      <w:r>
        <w:rPr>
          <w:rFonts w:hint="eastAsia"/>
          <w:lang w:eastAsia="zh-CN"/>
        </w:rPr>
        <w:t>3.</w:t>
      </w:r>
      <w:r>
        <w:rPr>
          <w:rFonts w:hint="eastAsia"/>
          <w:lang w:val="en-US" w:eastAsia="zh-CN"/>
        </w:rPr>
        <w:t>2</w:t>
      </w:r>
      <w:r>
        <w:rPr>
          <w:rFonts w:hint="eastAsia"/>
          <w:lang w:eastAsia="zh-CN"/>
        </w:rPr>
        <w:t>.</w:t>
      </w:r>
      <w:r>
        <w:rPr>
          <w:rFonts w:hint="eastAsia"/>
          <w:lang w:val="en-US" w:eastAsia="zh-CN"/>
        </w:rPr>
        <w:t>4</w:t>
      </w:r>
      <w:r>
        <w:rPr>
          <w:rFonts w:hint="eastAsia"/>
          <w:lang w:eastAsia="zh-CN"/>
        </w:rPr>
        <w:t>矿山安全管理危险、有害因素</w:t>
      </w:r>
      <w:bookmarkEnd w:id="241"/>
      <w:bookmarkEnd w:id="242"/>
      <w:bookmarkEnd w:id="244"/>
      <w:bookmarkEnd w:id="245"/>
      <w:bookmarkEnd w:id="246"/>
      <w:bookmarkEnd w:id="247"/>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rFonts w:hint="eastAsia" w:ascii="宋体" w:hAnsi="宋体" w:eastAsia="宋体" w:cs="宋体"/>
          <w:sz w:val="28"/>
          <w:szCs w:val="28"/>
        </w:rPr>
        <w:t>按照《</w:t>
      </w:r>
      <w:r>
        <w:rPr>
          <w:rFonts w:hint="eastAsia" w:ascii="宋体" w:hAnsi="宋体" w:eastAsia="宋体" w:cs="宋体"/>
          <w:sz w:val="28"/>
          <w:szCs w:val="28"/>
          <w:lang w:val="sq-AL"/>
        </w:rPr>
        <w:t>生产过程危险</w:t>
      </w:r>
      <w:r>
        <w:rPr>
          <w:rFonts w:hint="eastAsia" w:ascii="宋体" w:hAnsi="宋体" w:eastAsia="宋体" w:cs="宋体"/>
          <w:sz w:val="28"/>
          <w:szCs w:val="28"/>
        </w:rPr>
        <w:t>和</w:t>
      </w:r>
      <w:r>
        <w:rPr>
          <w:rFonts w:hint="eastAsia" w:ascii="宋体" w:hAnsi="宋体" w:eastAsia="宋体" w:cs="宋体"/>
          <w:sz w:val="28"/>
          <w:szCs w:val="28"/>
          <w:lang w:val="sq-AL"/>
        </w:rPr>
        <w:t>有害因素分类与代码》（GB/T13861-20</w:t>
      </w:r>
      <w:r>
        <w:rPr>
          <w:rFonts w:hint="eastAsia" w:ascii="宋体" w:hAnsi="宋体" w:eastAsia="宋体" w:cs="宋体"/>
          <w:sz w:val="28"/>
          <w:szCs w:val="28"/>
        </w:rPr>
        <w:t>22）中第四类因素－管理因素进行辨识，主要围绕企业安全生产管理中建立各级安全生产责任制、安全生产管理的</w:t>
      </w:r>
      <w:r>
        <w:rPr>
          <w:sz w:val="28"/>
          <w:szCs w:val="28"/>
        </w:rPr>
        <w:t>规章制度和各类设备、工艺系统、各岗位（工种）、各工序安全操作规程以及安全生产责任制、规章制度的贯彻和落实情况加以辨识和分析。</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sz w:val="28"/>
          <w:szCs w:val="28"/>
        </w:rPr>
        <w:t>1、安全管理组织结构不健全：结构、人员组成不当或不适应生产系统，造成安全管理工作中存在衔接不当、管理空白、专业不全等，致使安全管理上存在漏洞从而引发事故。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sz w:val="28"/>
          <w:szCs w:val="28"/>
        </w:rPr>
        <w:t>2、安全管理责任制未落实、职业安全健康管理规章制度不完善：未根据生产系统特点补充、完善和落实安全生产责任制、安全生产管理制度、安全操作规程，容易造成生产过程中责任未落实，任务不明确，工作中无章可循，造成生产次序混乱，诱发各类安全生产事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sz w:val="28"/>
          <w:szCs w:val="28"/>
        </w:rPr>
        <w:t>3、安全管理不完善：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sz w:val="28"/>
          <w:szCs w:val="28"/>
        </w:rPr>
        <w:t>（1）未建立或未根据生产系统特点补充、完善安全生产记录档案，不利于及时、全面系统的掌握企业安全生产情况，及时</w:t>
      </w:r>
      <w:r>
        <w:rPr>
          <w:rFonts w:hint="eastAsia"/>
          <w:sz w:val="28"/>
          <w:szCs w:val="28"/>
          <w:lang w:val="en-US" w:eastAsia="zh-CN"/>
        </w:rPr>
        <w:t>反映</w:t>
      </w:r>
      <w:r>
        <w:rPr>
          <w:sz w:val="28"/>
          <w:szCs w:val="28"/>
        </w:rPr>
        <w:t>安全生产动态；不利于分析安全生产中的危险因素和作出安全管理决策；</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sz w:val="28"/>
          <w:szCs w:val="28"/>
        </w:rPr>
        <w:t>（2）未建立或未根据系统特点补充、完善应急救援预案或未进行应急演练，对突发事故无预见性，事故发生后无法及时组织救援，导致事故扩大，造成重大损失。</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sz w:val="28"/>
          <w:szCs w:val="28"/>
        </w:rPr>
        <w:t>4、安全管理投入不足：安全资金投入不足、安全教育培训不够、个人防护不到位等而导致安全事故的发生。</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sz w:val="28"/>
          <w:szCs w:val="28"/>
        </w:rPr>
        <w:t>5、其他管理因素缺陷：</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sz w:val="28"/>
          <w:szCs w:val="28"/>
        </w:rPr>
        <w:t>（1）管理过程中违章指挥、发现违章作业而不制止等，使安全隐患得不到及时消除，最终导致安全事故；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sz w:val="28"/>
          <w:szCs w:val="28"/>
          <w:lang w:val="en-US" w:eastAsia="zh-CN"/>
        </w:rPr>
      </w:pPr>
      <w:bookmarkStart w:id="248" w:name="_Toc418847814"/>
      <w:r>
        <w:rPr>
          <w:sz w:val="28"/>
          <w:szCs w:val="28"/>
        </w:rPr>
        <w:t>（2）特种作业人员未培训取证</w:t>
      </w:r>
      <w:bookmarkEnd w:id="248"/>
      <w:r>
        <w:rPr>
          <w:rFonts w:hint="eastAsia"/>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rFonts w:hint="eastAsia"/>
          <w:sz w:val="28"/>
          <w:szCs w:val="28"/>
          <w:lang w:eastAsia="zh-CN"/>
        </w:rPr>
        <w:t>（</w:t>
      </w:r>
      <w:r>
        <w:rPr>
          <w:rFonts w:hint="eastAsia"/>
          <w:sz w:val="28"/>
          <w:szCs w:val="28"/>
          <w:lang w:val="en-US" w:eastAsia="zh-CN"/>
        </w:rPr>
        <w:t>3</w:t>
      </w:r>
      <w:r>
        <w:rPr>
          <w:rFonts w:hint="eastAsia"/>
          <w:sz w:val="28"/>
          <w:szCs w:val="28"/>
          <w:lang w:eastAsia="zh-CN"/>
        </w:rPr>
        <w:t>）</w:t>
      </w:r>
      <w:r>
        <w:rPr>
          <w:rFonts w:hint="eastAsia"/>
          <w:sz w:val="28"/>
          <w:szCs w:val="28"/>
          <w:lang w:val="en-US" w:eastAsia="zh-CN"/>
        </w:rPr>
        <w:t>未按规定配备具有采矿、地质、机电等矿山相关专业技术人员</w:t>
      </w:r>
      <w:r>
        <w:rPr>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sz w:val="28"/>
          <w:szCs w:val="28"/>
        </w:rPr>
      </w:pPr>
      <w:r>
        <w:rPr>
          <w:rFonts w:hint="eastAsia"/>
          <w:sz w:val="28"/>
          <w:szCs w:val="28"/>
        </w:rPr>
        <w:t>6、矿山安全管理危险、有害因素小结</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sz w:val="28"/>
          <w:szCs w:val="28"/>
        </w:rPr>
      </w:pPr>
      <w:r>
        <w:rPr>
          <w:rFonts w:hint="eastAsia"/>
          <w:sz w:val="28"/>
          <w:szCs w:val="28"/>
        </w:rPr>
        <w:t>矿山管理因素是矿山安全生产重要组成部分，通过对矿山安全管理方面的危险、有害因素辨识与分析，预防或消除矿山安全生产管理中存在的安全隐患，对不足之处进行改进，更好地指导矿山的安全管理工作。</w:t>
      </w:r>
    </w:p>
    <w:p>
      <w:pPr>
        <w:pStyle w:val="5"/>
        <w:bidi w:val="0"/>
        <w:rPr>
          <w:rFonts w:hint="eastAsia"/>
          <w:lang w:eastAsia="zh-CN"/>
        </w:rPr>
      </w:pPr>
      <w:bookmarkStart w:id="249" w:name="_Toc242849765"/>
      <w:bookmarkStart w:id="250" w:name="_Toc27679261"/>
      <w:bookmarkStart w:id="251" w:name="_Toc349113994"/>
      <w:bookmarkStart w:id="252" w:name="_Toc25638"/>
      <w:bookmarkStart w:id="253" w:name="_Toc226963153"/>
      <w:bookmarkStart w:id="254" w:name="_Toc18187"/>
      <w:bookmarkStart w:id="255" w:name="_Toc23184"/>
      <w:bookmarkStart w:id="256" w:name="_Toc1223"/>
      <w:bookmarkStart w:id="257" w:name="_Toc418847816"/>
      <w:bookmarkStart w:id="258" w:name="_Toc14285"/>
      <w:bookmarkStart w:id="259" w:name="_Toc32375"/>
      <w:bookmarkStart w:id="260" w:name="_Toc9304"/>
      <w:bookmarkStart w:id="261" w:name="_Toc30713"/>
      <w:bookmarkStart w:id="262" w:name="_Toc28988"/>
      <w:bookmarkStart w:id="263" w:name="_Toc8673"/>
      <w:r>
        <w:rPr>
          <w:rFonts w:hint="eastAsia"/>
          <w:lang w:eastAsia="zh-CN"/>
        </w:rPr>
        <w:t>3.</w:t>
      </w:r>
      <w:r>
        <w:rPr>
          <w:rFonts w:hint="eastAsia"/>
          <w:lang w:val="en-US" w:eastAsia="zh-CN"/>
        </w:rPr>
        <w:t>2</w:t>
      </w:r>
      <w:r>
        <w:rPr>
          <w:rFonts w:hint="eastAsia"/>
          <w:lang w:eastAsia="zh-CN"/>
        </w:rPr>
        <w:t>.</w:t>
      </w:r>
      <w:r>
        <w:rPr>
          <w:rFonts w:hint="eastAsia"/>
          <w:lang w:val="en-US" w:eastAsia="zh-CN"/>
        </w:rPr>
        <w:t>5</w:t>
      </w:r>
      <w:r>
        <w:rPr>
          <w:rFonts w:hint="eastAsia"/>
          <w:lang w:eastAsia="zh-CN"/>
        </w:rPr>
        <w:t>主要危险、有害因素分布汇总</w:t>
      </w:r>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通过对</w:t>
      </w:r>
      <w:r>
        <w:rPr>
          <w:rFonts w:hint="eastAsia" w:ascii="宋体" w:hAnsi="宋体" w:eastAsia="宋体" w:cs="宋体"/>
          <w:sz w:val="28"/>
          <w:szCs w:val="28"/>
          <w:lang w:eastAsia="zh-CN"/>
        </w:rPr>
        <w:t>牟定共和西山寺砂场</w:t>
      </w:r>
      <w:r>
        <w:rPr>
          <w:rFonts w:hint="eastAsia" w:ascii="宋体" w:hAnsi="宋体" w:eastAsia="宋体" w:cs="宋体"/>
          <w:sz w:val="28"/>
          <w:szCs w:val="28"/>
        </w:rPr>
        <w:t>露天开采系统、公辅设备、设施等方面的危险、有害因素的辨识与分析，现将其分类总结如表3</w:t>
      </w:r>
      <w:r>
        <w:rPr>
          <w:rFonts w:hint="eastAsia" w:ascii="宋体" w:hAnsi="宋体" w:eastAsia="宋体" w:cs="宋体"/>
          <w:sz w:val="28"/>
          <w:szCs w:val="28"/>
          <w:lang w:val="en-US" w:eastAsia="zh-CN"/>
        </w:rPr>
        <w:t>-2</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Cs w:val="21"/>
        </w:rPr>
      </w:pPr>
      <w:r>
        <w:rPr>
          <w:rFonts w:hint="eastAsia" w:ascii="宋体" w:hAnsi="宋体" w:eastAsia="宋体" w:cs="宋体"/>
          <w:b/>
          <w:bCs/>
          <w:szCs w:val="21"/>
        </w:rPr>
        <w:t>表3</w:t>
      </w:r>
      <w:r>
        <w:rPr>
          <w:rFonts w:hint="eastAsia" w:ascii="宋体" w:hAnsi="宋体" w:eastAsia="宋体" w:cs="宋体"/>
          <w:b/>
          <w:bCs/>
          <w:szCs w:val="21"/>
          <w:lang w:val="en-US" w:eastAsia="zh-CN"/>
        </w:rPr>
        <w:t>-2</w:t>
      </w:r>
      <w:r>
        <w:rPr>
          <w:rFonts w:hint="eastAsia" w:ascii="宋体" w:hAnsi="宋体" w:eastAsia="宋体" w:cs="宋体"/>
          <w:b/>
          <w:bCs/>
          <w:szCs w:val="21"/>
        </w:rPr>
        <w:t xml:space="preserve">  主要危险有害因素小结</w:t>
      </w:r>
    </w:p>
    <w:tbl>
      <w:tblPr>
        <w:tblStyle w:val="35"/>
        <w:tblW w:w="0" w:type="auto"/>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1"/>
        <w:gridCol w:w="682"/>
        <w:gridCol w:w="2655"/>
        <w:gridCol w:w="2767"/>
        <w:gridCol w:w="215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91" w:type="dxa"/>
            <w:tcBorders>
              <w:left w:val="single" w:color="auto" w:sz="4" w:space="0"/>
            </w:tcBorders>
            <w:noWrap w:val="0"/>
            <w:vAlign w:val="center"/>
          </w:tcPr>
          <w:p>
            <w:pPr>
              <w:adjustRightInd w:val="0"/>
              <w:snapToGrid w:val="0"/>
              <w:spacing w:line="300" w:lineRule="exact"/>
              <w:rPr>
                <w:bCs/>
                <w:szCs w:val="21"/>
              </w:rPr>
            </w:pPr>
            <w:r>
              <w:rPr>
                <w:bCs/>
                <w:szCs w:val="21"/>
              </w:rPr>
              <w:t>项目</w:t>
            </w:r>
          </w:p>
        </w:tc>
        <w:tc>
          <w:tcPr>
            <w:tcW w:w="682" w:type="dxa"/>
            <w:noWrap w:val="0"/>
            <w:vAlign w:val="center"/>
          </w:tcPr>
          <w:p>
            <w:pPr>
              <w:adjustRightInd w:val="0"/>
              <w:snapToGrid w:val="0"/>
              <w:spacing w:line="300" w:lineRule="exact"/>
              <w:rPr>
                <w:bCs/>
                <w:szCs w:val="21"/>
              </w:rPr>
            </w:pPr>
            <w:r>
              <w:rPr>
                <w:bCs/>
                <w:szCs w:val="21"/>
              </w:rPr>
              <w:t>序号</w:t>
            </w:r>
          </w:p>
        </w:tc>
        <w:tc>
          <w:tcPr>
            <w:tcW w:w="2655" w:type="dxa"/>
            <w:noWrap w:val="0"/>
            <w:vAlign w:val="center"/>
          </w:tcPr>
          <w:p>
            <w:pPr>
              <w:adjustRightInd w:val="0"/>
              <w:snapToGrid w:val="0"/>
              <w:spacing w:line="300" w:lineRule="exact"/>
              <w:jc w:val="center"/>
              <w:rPr>
                <w:bCs/>
                <w:szCs w:val="21"/>
              </w:rPr>
            </w:pPr>
            <w:r>
              <w:rPr>
                <w:bCs/>
                <w:szCs w:val="21"/>
              </w:rPr>
              <w:t>危险因素分类</w:t>
            </w:r>
          </w:p>
        </w:tc>
        <w:tc>
          <w:tcPr>
            <w:tcW w:w="2767" w:type="dxa"/>
            <w:tcBorders>
              <w:right w:val="single" w:color="auto" w:sz="4" w:space="0"/>
            </w:tcBorders>
            <w:noWrap w:val="0"/>
            <w:vAlign w:val="center"/>
          </w:tcPr>
          <w:p>
            <w:pPr>
              <w:adjustRightInd w:val="0"/>
              <w:snapToGrid w:val="0"/>
              <w:spacing w:line="300" w:lineRule="exact"/>
              <w:jc w:val="center"/>
              <w:rPr>
                <w:bCs/>
                <w:szCs w:val="21"/>
              </w:rPr>
            </w:pPr>
            <w:r>
              <w:rPr>
                <w:bCs/>
                <w:szCs w:val="21"/>
              </w:rPr>
              <w:t>可能存在部位</w:t>
            </w:r>
          </w:p>
        </w:tc>
        <w:tc>
          <w:tcPr>
            <w:tcW w:w="2153" w:type="dxa"/>
            <w:tcBorders>
              <w:right w:val="single" w:color="auto" w:sz="4" w:space="0"/>
            </w:tcBorders>
            <w:noWrap w:val="0"/>
            <w:vAlign w:val="center"/>
          </w:tcPr>
          <w:p>
            <w:pPr>
              <w:adjustRightInd w:val="0"/>
              <w:snapToGrid w:val="0"/>
              <w:spacing w:line="300" w:lineRule="exact"/>
              <w:jc w:val="center"/>
              <w:rPr>
                <w:bCs/>
                <w:szCs w:val="21"/>
              </w:rPr>
            </w:pPr>
            <w:r>
              <w:rPr>
                <w:bCs/>
                <w:szCs w:val="21"/>
              </w:rPr>
              <w:t>可能造成的后果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691" w:type="dxa"/>
            <w:vMerge w:val="restart"/>
            <w:tcBorders>
              <w:left w:val="single" w:color="auto" w:sz="4" w:space="0"/>
            </w:tcBorders>
            <w:noWrap w:val="0"/>
            <w:vAlign w:val="center"/>
          </w:tcPr>
          <w:p>
            <w:pPr>
              <w:adjustRightInd w:val="0"/>
              <w:snapToGrid w:val="0"/>
              <w:spacing w:line="300" w:lineRule="exact"/>
              <w:jc w:val="center"/>
              <w:rPr>
                <w:bCs/>
                <w:szCs w:val="21"/>
              </w:rPr>
            </w:pPr>
            <w:r>
              <w:rPr>
                <w:bCs/>
                <w:szCs w:val="21"/>
              </w:rPr>
              <w:t>危险因素</w:t>
            </w:r>
          </w:p>
        </w:tc>
        <w:tc>
          <w:tcPr>
            <w:tcW w:w="682" w:type="dxa"/>
            <w:noWrap w:val="0"/>
            <w:vAlign w:val="center"/>
          </w:tcPr>
          <w:p>
            <w:pPr>
              <w:adjustRightInd w:val="0"/>
              <w:snapToGrid w:val="0"/>
              <w:spacing w:line="300" w:lineRule="exact"/>
              <w:jc w:val="center"/>
              <w:rPr>
                <w:bCs/>
                <w:szCs w:val="21"/>
              </w:rPr>
            </w:pPr>
            <w:r>
              <w:rPr>
                <w:bCs/>
                <w:szCs w:val="21"/>
              </w:rPr>
              <w:t>1</w:t>
            </w:r>
          </w:p>
        </w:tc>
        <w:tc>
          <w:tcPr>
            <w:tcW w:w="2655" w:type="dxa"/>
            <w:noWrap w:val="0"/>
            <w:vAlign w:val="center"/>
          </w:tcPr>
          <w:p>
            <w:pPr>
              <w:adjustRightInd w:val="0"/>
              <w:snapToGrid w:val="0"/>
              <w:spacing w:line="300" w:lineRule="exact"/>
              <w:rPr>
                <w:bCs/>
                <w:szCs w:val="21"/>
              </w:rPr>
            </w:pPr>
            <w:r>
              <w:rPr>
                <w:bCs/>
                <w:szCs w:val="21"/>
              </w:rPr>
              <w:t>滚石、边坡失稳、</w:t>
            </w:r>
            <w:r>
              <w:rPr>
                <w:rFonts w:hint="eastAsia"/>
                <w:bCs/>
                <w:szCs w:val="21"/>
                <w:lang w:val="en-US" w:eastAsia="zh-CN"/>
              </w:rPr>
              <w:t>坍塌、</w:t>
            </w:r>
            <w:r>
              <w:rPr>
                <w:bCs/>
                <w:szCs w:val="21"/>
              </w:rPr>
              <w:t>滑坡、泥石流</w:t>
            </w:r>
          </w:p>
        </w:tc>
        <w:tc>
          <w:tcPr>
            <w:tcW w:w="2767" w:type="dxa"/>
            <w:tcBorders>
              <w:right w:val="single" w:color="auto" w:sz="4" w:space="0"/>
            </w:tcBorders>
            <w:noWrap w:val="0"/>
            <w:vAlign w:val="center"/>
          </w:tcPr>
          <w:p>
            <w:pPr>
              <w:adjustRightInd w:val="0"/>
              <w:snapToGrid w:val="0"/>
              <w:spacing w:line="300" w:lineRule="exact"/>
              <w:rPr>
                <w:bCs/>
                <w:szCs w:val="21"/>
              </w:rPr>
            </w:pPr>
            <w:r>
              <w:rPr>
                <w:bCs/>
                <w:szCs w:val="21"/>
              </w:rPr>
              <w:t>采场边坡</w:t>
            </w:r>
          </w:p>
        </w:tc>
        <w:tc>
          <w:tcPr>
            <w:tcW w:w="2153" w:type="dxa"/>
            <w:tcBorders>
              <w:right w:val="single" w:color="auto" w:sz="4" w:space="0"/>
            </w:tcBorders>
            <w:noWrap w:val="0"/>
            <w:vAlign w:val="center"/>
          </w:tcPr>
          <w:p>
            <w:pPr>
              <w:adjustRightInd w:val="0"/>
              <w:snapToGrid w:val="0"/>
              <w:spacing w:line="300" w:lineRule="exact"/>
              <w:rPr>
                <w:bCs/>
                <w:szCs w:val="21"/>
              </w:rPr>
            </w:pPr>
            <w:r>
              <w:rPr>
                <w:bCs/>
                <w:szCs w:val="21"/>
              </w:rPr>
              <w:t>人员伤亡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691" w:type="dxa"/>
            <w:vMerge w:val="continue"/>
            <w:tcBorders>
              <w:left w:val="single" w:color="auto" w:sz="4" w:space="0"/>
            </w:tcBorders>
            <w:noWrap w:val="0"/>
            <w:vAlign w:val="center"/>
          </w:tcPr>
          <w:p>
            <w:pPr>
              <w:adjustRightInd w:val="0"/>
              <w:snapToGrid w:val="0"/>
              <w:spacing w:line="300" w:lineRule="exact"/>
              <w:jc w:val="center"/>
              <w:rPr>
                <w:bCs/>
                <w:szCs w:val="21"/>
              </w:rPr>
            </w:pPr>
          </w:p>
        </w:tc>
        <w:tc>
          <w:tcPr>
            <w:tcW w:w="682" w:type="dxa"/>
            <w:noWrap w:val="0"/>
            <w:vAlign w:val="center"/>
          </w:tcPr>
          <w:p>
            <w:pPr>
              <w:adjustRightInd w:val="0"/>
              <w:snapToGrid w:val="0"/>
              <w:spacing w:line="300" w:lineRule="exact"/>
              <w:jc w:val="center"/>
              <w:rPr>
                <w:bCs/>
                <w:szCs w:val="21"/>
              </w:rPr>
            </w:pPr>
            <w:r>
              <w:rPr>
                <w:bCs/>
                <w:szCs w:val="21"/>
              </w:rPr>
              <w:t>2</w:t>
            </w:r>
          </w:p>
        </w:tc>
        <w:tc>
          <w:tcPr>
            <w:tcW w:w="2655" w:type="dxa"/>
            <w:noWrap w:val="0"/>
            <w:vAlign w:val="center"/>
          </w:tcPr>
          <w:p>
            <w:pPr>
              <w:adjustRightInd w:val="0"/>
              <w:snapToGrid w:val="0"/>
              <w:spacing w:line="300" w:lineRule="exact"/>
              <w:rPr>
                <w:bCs/>
                <w:kern w:val="2"/>
                <w:sz w:val="21"/>
                <w:szCs w:val="21"/>
                <w:lang w:val="en-US" w:eastAsia="zh-CN" w:bidi="ar-SA"/>
              </w:rPr>
            </w:pPr>
            <w:r>
              <w:rPr>
                <w:bCs/>
                <w:szCs w:val="21"/>
              </w:rPr>
              <w:t>物体打击</w:t>
            </w:r>
          </w:p>
        </w:tc>
        <w:tc>
          <w:tcPr>
            <w:tcW w:w="2767" w:type="dxa"/>
            <w:tcBorders>
              <w:right w:val="single" w:color="auto" w:sz="4" w:space="0"/>
            </w:tcBorders>
            <w:noWrap w:val="0"/>
            <w:vAlign w:val="center"/>
          </w:tcPr>
          <w:p>
            <w:pPr>
              <w:pStyle w:val="12"/>
              <w:spacing w:line="300" w:lineRule="exact"/>
              <w:rPr>
                <w:bCs/>
                <w:kern w:val="2"/>
                <w:sz w:val="21"/>
                <w:szCs w:val="21"/>
                <w:lang w:val="en-US" w:eastAsia="zh-CN" w:bidi="ar-SA"/>
              </w:rPr>
            </w:pPr>
            <w:r>
              <w:rPr>
                <w:bCs/>
                <w:szCs w:val="21"/>
              </w:rPr>
              <w:t>采场矿石搬运、铲装作业工作面等</w:t>
            </w:r>
          </w:p>
        </w:tc>
        <w:tc>
          <w:tcPr>
            <w:tcW w:w="2153" w:type="dxa"/>
            <w:tcBorders>
              <w:right w:val="single" w:color="auto" w:sz="4" w:space="0"/>
            </w:tcBorders>
            <w:noWrap w:val="0"/>
            <w:vAlign w:val="center"/>
          </w:tcPr>
          <w:p>
            <w:pPr>
              <w:adjustRightInd w:val="0"/>
              <w:snapToGrid w:val="0"/>
              <w:spacing w:line="300" w:lineRule="exact"/>
              <w:rPr>
                <w:bCs/>
                <w:kern w:val="2"/>
                <w:sz w:val="21"/>
                <w:szCs w:val="21"/>
                <w:lang w:val="en-US" w:eastAsia="zh-CN" w:bidi="ar-SA"/>
              </w:rPr>
            </w:pPr>
            <w:r>
              <w:rPr>
                <w:bCs/>
                <w:szCs w:val="21"/>
              </w:rPr>
              <w:t>人员伤亡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691" w:type="dxa"/>
            <w:vMerge w:val="continue"/>
            <w:tcBorders>
              <w:left w:val="single" w:color="auto" w:sz="4" w:space="0"/>
            </w:tcBorders>
            <w:noWrap w:val="0"/>
            <w:vAlign w:val="center"/>
          </w:tcPr>
          <w:p>
            <w:pPr>
              <w:adjustRightInd w:val="0"/>
              <w:snapToGrid w:val="0"/>
              <w:spacing w:line="300" w:lineRule="exact"/>
              <w:jc w:val="center"/>
              <w:rPr>
                <w:bCs/>
                <w:szCs w:val="21"/>
              </w:rPr>
            </w:pPr>
          </w:p>
        </w:tc>
        <w:tc>
          <w:tcPr>
            <w:tcW w:w="682" w:type="dxa"/>
            <w:noWrap w:val="0"/>
            <w:vAlign w:val="center"/>
          </w:tcPr>
          <w:p>
            <w:pPr>
              <w:adjustRightInd w:val="0"/>
              <w:snapToGrid w:val="0"/>
              <w:spacing w:line="300" w:lineRule="exact"/>
              <w:jc w:val="center"/>
              <w:rPr>
                <w:bCs/>
                <w:szCs w:val="21"/>
              </w:rPr>
            </w:pPr>
            <w:r>
              <w:rPr>
                <w:bCs/>
                <w:szCs w:val="21"/>
              </w:rPr>
              <w:t>3</w:t>
            </w:r>
          </w:p>
        </w:tc>
        <w:tc>
          <w:tcPr>
            <w:tcW w:w="2655" w:type="dxa"/>
            <w:noWrap w:val="0"/>
            <w:vAlign w:val="center"/>
          </w:tcPr>
          <w:p>
            <w:pPr>
              <w:adjustRightInd w:val="0"/>
              <w:snapToGrid w:val="0"/>
              <w:spacing w:line="300" w:lineRule="exact"/>
              <w:rPr>
                <w:bCs/>
                <w:kern w:val="2"/>
                <w:sz w:val="21"/>
                <w:szCs w:val="21"/>
                <w:lang w:val="en-US" w:eastAsia="zh-CN" w:bidi="ar-SA"/>
              </w:rPr>
            </w:pPr>
            <w:r>
              <w:rPr>
                <w:bCs/>
                <w:szCs w:val="21"/>
              </w:rPr>
              <w:t>高处坠落</w:t>
            </w:r>
          </w:p>
        </w:tc>
        <w:tc>
          <w:tcPr>
            <w:tcW w:w="2767" w:type="dxa"/>
            <w:tcBorders>
              <w:right w:val="single" w:color="auto" w:sz="4" w:space="0"/>
            </w:tcBorders>
            <w:noWrap w:val="0"/>
            <w:vAlign w:val="center"/>
          </w:tcPr>
          <w:p>
            <w:pPr>
              <w:adjustRightInd w:val="0"/>
              <w:snapToGrid w:val="0"/>
              <w:spacing w:line="300" w:lineRule="exact"/>
              <w:rPr>
                <w:bCs/>
                <w:kern w:val="2"/>
                <w:sz w:val="21"/>
                <w:szCs w:val="21"/>
                <w:lang w:val="en-US" w:eastAsia="zh-CN" w:bidi="ar-SA"/>
              </w:rPr>
            </w:pPr>
            <w:r>
              <w:rPr>
                <w:bCs/>
                <w:szCs w:val="21"/>
              </w:rPr>
              <w:t>采场边坡及工艺过程中2m及以上的作业平台等</w:t>
            </w:r>
          </w:p>
        </w:tc>
        <w:tc>
          <w:tcPr>
            <w:tcW w:w="2153" w:type="dxa"/>
            <w:tcBorders>
              <w:right w:val="single" w:color="auto" w:sz="4" w:space="0"/>
            </w:tcBorders>
            <w:noWrap w:val="0"/>
            <w:vAlign w:val="center"/>
          </w:tcPr>
          <w:p>
            <w:pPr>
              <w:adjustRightInd w:val="0"/>
              <w:snapToGrid w:val="0"/>
              <w:spacing w:line="300" w:lineRule="exact"/>
              <w:rPr>
                <w:bCs/>
                <w:kern w:val="2"/>
                <w:sz w:val="21"/>
                <w:szCs w:val="21"/>
                <w:lang w:val="en-US" w:eastAsia="zh-CN" w:bidi="ar-SA"/>
              </w:rPr>
            </w:pPr>
            <w:r>
              <w:rPr>
                <w:bCs/>
                <w:szCs w:val="21"/>
              </w:rPr>
              <w:t>人员伤亡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1" w:type="dxa"/>
            <w:vMerge w:val="continue"/>
            <w:tcBorders>
              <w:left w:val="single" w:color="auto" w:sz="4" w:space="0"/>
            </w:tcBorders>
            <w:noWrap w:val="0"/>
            <w:vAlign w:val="center"/>
          </w:tcPr>
          <w:p>
            <w:pPr>
              <w:adjustRightInd w:val="0"/>
              <w:snapToGrid w:val="0"/>
              <w:spacing w:line="300" w:lineRule="exact"/>
              <w:jc w:val="center"/>
              <w:rPr>
                <w:bCs/>
                <w:szCs w:val="21"/>
              </w:rPr>
            </w:pPr>
          </w:p>
        </w:tc>
        <w:tc>
          <w:tcPr>
            <w:tcW w:w="682" w:type="dxa"/>
            <w:noWrap w:val="0"/>
            <w:vAlign w:val="center"/>
          </w:tcPr>
          <w:p>
            <w:pPr>
              <w:adjustRightInd w:val="0"/>
              <w:snapToGrid w:val="0"/>
              <w:spacing w:line="300" w:lineRule="exact"/>
              <w:jc w:val="center"/>
              <w:rPr>
                <w:bCs/>
                <w:szCs w:val="21"/>
              </w:rPr>
            </w:pPr>
            <w:r>
              <w:rPr>
                <w:bCs/>
                <w:szCs w:val="21"/>
              </w:rPr>
              <w:t>4</w:t>
            </w:r>
          </w:p>
        </w:tc>
        <w:tc>
          <w:tcPr>
            <w:tcW w:w="2655" w:type="dxa"/>
            <w:noWrap w:val="0"/>
            <w:vAlign w:val="center"/>
          </w:tcPr>
          <w:p>
            <w:pPr>
              <w:adjustRightInd w:val="0"/>
              <w:snapToGrid w:val="0"/>
              <w:spacing w:line="300" w:lineRule="exact"/>
              <w:rPr>
                <w:bCs/>
                <w:kern w:val="2"/>
                <w:sz w:val="21"/>
                <w:szCs w:val="21"/>
                <w:lang w:val="en-US" w:eastAsia="zh-CN" w:bidi="ar-SA"/>
              </w:rPr>
            </w:pPr>
            <w:r>
              <w:rPr>
                <w:bCs/>
                <w:szCs w:val="21"/>
              </w:rPr>
              <w:t>车辆伤害</w:t>
            </w:r>
          </w:p>
        </w:tc>
        <w:tc>
          <w:tcPr>
            <w:tcW w:w="2767" w:type="dxa"/>
            <w:tcBorders>
              <w:right w:val="single" w:color="auto" w:sz="4" w:space="0"/>
            </w:tcBorders>
            <w:noWrap w:val="0"/>
            <w:vAlign w:val="center"/>
          </w:tcPr>
          <w:p>
            <w:pPr>
              <w:adjustRightInd w:val="0"/>
              <w:snapToGrid w:val="0"/>
              <w:spacing w:line="300" w:lineRule="exact"/>
              <w:rPr>
                <w:bCs/>
                <w:kern w:val="2"/>
                <w:sz w:val="21"/>
                <w:szCs w:val="21"/>
                <w:lang w:val="en-US" w:eastAsia="zh-CN" w:bidi="ar-SA"/>
              </w:rPr>
            </w:pPr>
            <w:r>
              <w:rPr>
                <w:bCs/>
                <w:szCs w:val="21"/>
              </w:rPr>
              <w:t>运输过程中的各种车辆设备</w:t>
            </w:r>
          </w:p>
        </w:tc>
        <w:tc>
          <w:tcPr>
            <w:tcW w:w="2153" w:type="dxa"/>
            <w:tcBorders>
              <w:right w:val="single" w:color="auto" w:sz="4" w:space="0"/>
            </w:tcBorders>
            <w:noWrap w:val="0"/>
            <w:vAlign w:val="center"/>
          </w:tcPr>
          <w:p>
            <w:pPr>
              <w:adjustRightInd w:val="0"/>
              <w:snapToGrid w:val="0"/>
              <w:spacing w:line="300" w:lineRule="exact"/>
              <w:rPr>
                <w:bCs/>
                <w:kern w:val="2"/>
                <w:sz w:val="21"/>
                <w:szCs w:val="21"/>
                <w:lang w:val="en-US" w:eastAsia="zh-CN" w:bidi="ar-SA"/>
              </w:rPr>
            </w:pPr>
            <w:r>
              <w:rPr>
                <w:bCs/>
                <w:szCs w:val="21"/>
              </w:rPr>
              <w:t>人员伤亡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691" w:type="dxa"/>
            <w:vMerge w:val="continue"/>
            <w:tcBorders>
              <w:left w:val="single" w:color="auto" w:sz="4" w:space="0"/>
            </w:tcBorders>
            <w:noWrap w:val="0"/>
            <w:vAlign w:val="center"/>
          </w:tcPr>
          <w:p>
            <w:pPr>
              <w:adjustRightInd w:val="0"/>
              <w:snapToGrid w:val="0"/>
              <w:spacing w:line="300" w:lineRule="exact"/>
              <w:jc w:val="center"/>
              <w:rPr>
                <w:bCs/>
                <w:szCs w:val="21"/>
              </w:rPr>
            </w:pPr>
          </w:p>
        </w:tc>
        <w:tc>
          <w:tcPr>
            <w:tcW w:w="682" w:type="dxa"/>
            <w:noWrap w:val="0"/>
            <w:vAlign w:val="center"/>
          </w:tcPr>
          <w:p>
            <w:pPr>
              <w:adjustRightInd w:val="0"/>
              <w:snapToGrid w:val="0"/>
              <w:spacing w:line="300" w:lineRule="exact"/>
              <w:jc w:val="center"/>
              <w:rPr>
                <w:bCs/>
                <w:szCs w:val="21"/>
              </w:rPr>
            </w:pPr>
            <w:r>
              <w:rPr>
                <w:bCs/>
                <w:szCs w:val="21"/>
              </w:rPr>
              <w:t>5</w:t>
            </w:r>
          </w:p>
        </w:tc>
        <w:tc>
          <w:tcPr>
            <w:tcW w:w="2655" w:type="dxa"/>
            <w:noWrap w:val="0"/>
            <w:vAlign w:val="center"/>
          </w:tcPr>
          <w:p>
            <w:pPr>
              <w:adjustRightInd w:val="0"/>
              <w:snapToGrid w:val="0"/>
              <w:spacing w:line="300" w:lineRule="exact"/>
              <w:rPr>
                <w:bCs/>
                <w:kern w:val="2"/>
                <w:sz w:val="21"/>
                <w:szCs w:val="21"/>
                <w:lang w:val="en-US" w:eastAsia="zh-CN" w:bidi="ar-SA"/>
              </w:rPr>
            </w:pPr>
            <w:r>
              <w:rPr>
                <w:bCs/>
                <w:szCs w:val="21"/>
              </w:rPr>
              <w:t>机械伤害</w:t>
            </w:r>
          </w:p>
        </w:tc>
        <w:tc>
          <w:tcPr>
            <w:tcW w:w="2767" w:type="dxa"/>
            <w:tcBorders>
              <w:right w:val="single" w:color="auto" w:sz="4" w:space="0"/>
            </w:tcBorders>
            <w:noWrap w:val="0"/>
            <w:vAlign w:val="center"/>
          </w:tcPr>
          <w:p>
            <w:pPr>
              <w:adjustRightInd w:val="0"/>
              <w:snapToGrid w:val="0"/>
              <w:spacing w:line="300" w:lineRule="exact"/>
              <w:rPr>
                <w:bCs/>
                <w:kern w:val="2"/>
                <w:sz w:val="21"/>
                <w:szCs w:val="21"/>
                <w:lang w:val="en-US" w:eastAsia="zh-CN" w:bidi="ar-SA"/>
              </w:rPr>
            </w:pPr>
            <w:r>
              <w:rPr>
                <w:bCs/>
                <w:szCs w:val="21"/>
              </w:rPr>
              <w:t>各种设备引起的机械事故</w:t>
            </w:r>
          </w:p>
        </w:tc>
        <w:tc>
          <w:tcPr>
            <w:tcW w:w="2153" w:type="dxa"/>
            <w:tcBorders>
              <w:right w:val="single" w:color="auto" w:sz="4" w:space="0"/>
            </w:tcBorders>
            <w:noWrap w:val="0"/>
            <w:vAlign w:val="center"/>
          </w:tcPr>
          <w:p>
            <w:pPr>
              <w:adjustRightInd w:val="0"/>
              <w:snapToGrid w:val="0"/>
              <w:spacing w:line="300" w:lineRule="exact"/>
              <w:rPr>
                <w:bCs/>
                <w:kern w:val="2"/>
                <w:sz w:val="21"/>
                <w:szCs w:val="21"/>
                <w:lang w:val="en-US" w:eastAsia="zh-CN" w:bidi="ar-SA"/>
              </w:rPr>
            </w:pPr>
            <w:r>
              <w:rPr>
                <w:bCs/>
                <w:szCs w:val="21"/>
              </w:rPr>
              <w:t>人员伤亡、设备损失</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1" w:type="dxa"/>
            <w:vMerge w:val="continue"/>
            <w:tcBorders>
              <w:left w:val="single" w:color="auto" w:sz="4" w:space="0"/>
            </w:tcBorders>
            <w:noWrap w:val="0"/>
            <w:vAlign w:val="center"/>
          </w:tcPr>
          <w:p>
            <w:pPr>
              <w:adjustRightInd w:val="0"/>
              <w:snapToGrid w:val="0"/>
              <w:spacing w:line="300" w:lineRule="exact"/>
              <w:jc w:val="center"/>
              <w:rPr>
                <w:bCs/>
                <w:szCs w:val="21"/>
              </w:rPr>
            </w:pPr>
          </w:p>
        </w:tc>
        <w:tc>
          <w:tcPr>
            <w:tcW w:w="682" w:type="dxa"/>
            <w:noWrap w:val="0"/>
            <w:vAlign w:val="center"/>
          </w:tcPr>
          <w:p>
            <w:pPr>
              <w:adjustRightInd w:val="0"/>
              <w:snapToGrid w:val="0"/>
              <w:spacing w:line="300" w:lineRule="exact"/>
              <w:jc w:val="center"/>
              <w:rPr>
                <w:bCs/>
                <w:szCs w:val="21"/>
              </w:rPr>
            </w:pPr>
            <w:r>
              <w:rPr>
                <w:bCs/>
                <w:szCs w:val="21"/>
              </w:rPr>
              <w:t>6</w:t>
            </w:r>
          </w:p>
        </w:tc>
        <w:tc>
          <w:tcPr>
            <w:tcW w:w="2655" w:type="dxa"/>
            <w:noWrap w:val="0"/>
            <w:vAlign w:val="center"/>
          </w:tcPr>
          <w:p>
            <w:pPr>
              <w:adjustRightInd w:val="0"/>
              <w:snapToGrid w:val="0"/>
              <w:spacing w:line="300" w:lineRule="exact"/>
              <w:rPr>
                <w:bCs/>
                <w:kern w:val="2"/>
                <w:sz w:val="21"/>
                <w:szCs w:val="21"/>
                <w:lang w:val="en-US" w:eastAsia="zh-CN" w:bidi="ar-SA"/>
              </w:rPr>
            </w:pPr>
            <w:r>
              <w:rPr>
                <w:bCs/>
                <w:szCs w:val="21"/>
              </w:rPr>
              <w:t>火灾</w:t>
            </w:r>
          </w:p>
        </w:tc>
        <w:tc>
          <w:tcPr>
            <w:tcW w:w="2767" w:type="dxa"/>
            <w:tcBorders>
              <w:right w:val="single" w:color="auto" w:sz="4" w:space="0"/>
            </w:tcBorders>
            <w:noWrap w:val="0"/>
            <w:vAlign w:val="center"/>
          </w:tcPr>
          <w:p>
            <w:pPr>
              <w:adjustRightInd w:val="0"/>
              <w:snapToGrid w:val="0"/>
              <w:spacing w:line="300" w:lineRule="exact"/>
              <w:rPr>
                <w:bCs/>
                <w:kern w:val="2"/>
                <w:sz w:val="21"/>
                <w:szCs w:val="21"/>
                <w:lang w:val="en-US" w:eastAsia="zh-CN" w:bidi="ar-SA"/>
              </w:rPr>
            </w:pPr>
            <w:r>
              <w:rPr>
                <w:bCs/>
                <w:szCs w:val="21"/>
              </w:rPr>
              <w:t>机械设备及电气设备、线路</w:t>
            </w:r>
          </w:p>
        </w:tc>
        <w:tc>
          <w:tcPr>
            <w:tcW w:w="2153" w:type="dxa"/>
            <w:tcBorders>
              <w:right w:val="single" w:color="auto" w:sz="4" w:space="0"/>
            </w:tcBorders>
            <w:noWrap w:val="0"/>
            <w:vAlign w:val="center"/>
          </w:tcPr>
          <w:p>
            <w:pPr>
              <w:adjustRightInd w:val="0"/>
              <w:snapToGrid w:val="0"/>
              <w:spacing w:line="300" w:lineRule="exact"/>
              <w:rPr>
                <w:bCs/>
                <w:kern w:val="2"/>
                <w:sz w:val="21"/>
                <w:szCs w:val="21"/>
                <w:lang w:val="en-US" w:eastAsia="zh-CN" w:bidi="ar-SA"/>
              </w:rPr>
            </w:pPr>
            <w:r>
              <w:rPr>
                <w:bCs/>
                <w:szCs w:val="21"/>
              </w:rPr>
              <w:t>人员伤亡、设备损失</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1" w:type="dxa"/>
            <w:vMerge w:val="continue"/>
            <w:tcBorders>
              <w:left w:val="single" w:color="auto" w:sz="4" w:space="0"/>
            </w:tcBorders>
            <w:noWrap w:val="0"/>
            <w:vAlign w:val="center"/>
          </w:tcPr>
          <w:p>
            <w:pPr>
              <w:adjustRightInd w:val="0"/>
              <w:snapToGrid w:val="0"/>
              <w:spacing w:line="300" w:lineRule="exact"/>
              <w:jc w:val="center"/>
              <w:rPr>
                <w:bCs/>
                <w:szCs w:val="21"/>
              </w:rPr>
            </w:pPr>
          </w:p>
        </w:tc>
        <w:tc>
          <w:tcPr>
            <w:tcW w:w="682" w:type="dxa"/>
            <w:noWrap w:val="0"/>
            <w:vAlign w:val="center"/>
          </w:tcPr>
          <w:p>
            <w:pPr>
              <w:adjustRightInd w:val="0"/>
              <w:snapToGrid w:val="0"/>
              <w:spacing w:line="300" w:lineRule="exact"/>
              <w:jc w:val="center"/>
              <w:rPr>
                <w:rFonts w:hint="eastAsia"/>
                <w:bCs/>
                <w:szCs w:val="21"/>
              </w:rPr>
            </w:pPr>
            <w:r>
              <w:rPr>
                <w:rFonts w:hint="eastAsia"/>
                <w:bCs/>
                <w:szCs w:val="21"/>
              </w:rPr>
              <w:t>7</w:t>
            </w:r>
          </w:p>
        </w:tc>
        <w:tc>
          <w:tcPr>
            <w:tcW w:w="2655" w:type="dxa"/>
            <w:noWrap w:val="0"/>
            <w:vAlign w:val="center"/>
          </w:tcPr>
          <w:p>
            <w:pPr>
              <w:adjustRightInd w:val="0"/>
              <w:snapToGrid w:val="0"/>
              <w:spacing w:line="300" w:lineRule="exact"/>
              <w:rPr>
                <w:bCs/>
                <w:kern w:val="2"/>
                <w:sz w:val="21"/>
                <w:szCs w:val="21"/>
                <w:lang w:val="en-US" w:eastAsia="zh-CN" w:bidi="ar-SA"/>
              </w:rPr>
            </w:pPr>
            <w:r>
              <w:rPr>
                <w:bCs/>
                <w:szCs w:val="21"/>
              </w:rPr>
              <w:t>触电、雷电</w:t>
            </w:r>
          </w:p>
        </w:tc>
        <w:tc>
          <w:tcPr>
            <w:tcW w:w="2767" w:type="dxa"/>
            <w:tcBorders>
              <w:right w:val="single" w:color="auto" w:sz="4" w:space="0"/>
            </w:tcBorders>
            <w:noWrap w:val="0"/>
            <w:vAlign w:val="center"/>
          </w:tcPr>
          <w:p>
            <w:pPr>
              <w:adjustRightInd w:val="0"/>
              <w:snapToGrid w:val="0"/>
              <w:spacing w:line="300" w:lineRule="exact"/>
              <w:rPr>
                <w:bCs/>
                <w:kern w:val="2"/>
                <w:sz w:val="21"/>
                <w:szCs w:val="21"/>
                <w:lang w:val="en-US" w:eastAsia="zh-CN" w:bidi="ar-SA"/>
              </w:rPr>
            </w:pPr>
            <w:r>
              <w:rPr>
                <w:bCs/>
                <w:szCs w:val="21"/>
              </w:rPr>
              <w:t>各种电气设备及其线路</w:t>
            </w:r>
          </w:p>
        </w:tc>
        <w:tc>
          <w:tcPr>
            <w:tcW w:w="2153" w:type="dxa"/>
            <w:tcBorders>
              <w:right w:val="single" w:color="auto" w:sz="4" w:space="0"/>
            </w:tcBorders>
            <w:noWrap w:val="0"/>
            <w:vAlign w:val="center"/>
          </w:tcPr>
          <w:p>
            <w:pPr>
              <w:adjustRightInd w:val="0"/>
              <w:snapToGrid w:val="0"/>
              <w:spacing w:line="300" w:lineRule="exact"/>
              <w:rPr>
                <w:bCs/>
                <w:kern w:val="2"/>
                <w:sz w:val="21"/>
                <w:szCs w:val="21"/>
                <w:lang w:val="en-US" w:eastAsia="zh-CN" w:bidi="ar-SA"/>
              </w:rPr>
            </w:pPr>
            <w:r>
              <w:rPr>
                <w:bCs/>
                <w:szCs w:val="21"/>
              </w:rPr>
              <w:t>人员伤亡、设备损坏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1" w:type="dxa"/>
            <w:vMerge w:val="continue"/>
            <w:tcBorders>
              <w:left w:val="single" w:color="auto" w:sz="4" w:space="0"/>
            </w:tcBorders>
            <w:noWrap w:val="0"/>
            <w:vAlign w:val="center"/>
          </w:tcPr>
          <w:p>
            <w:pPr>
              <w:adjustRightInd w:val="0"/>
              <w:snapToGrid w:val="0"/>
              <w:spacing w:line="300" w:lineRule="exact"/>
              <w:jc w:val="center"/>
              <w:rPr>
                <w:bCs/>
                <w:szCs w:val="21"/>
              </w:rPr>
            </w:pPr>
          </w:p>
        </w:tc>
        <w:tc>
          <w:tcPr>
            <w:tcW w:w="682" w:type="dxa"/>
            <w:noWrap w:val="0"/>
            <w:vAlign w:val="center"/>
          </w:tcPr>
          <w:p>
            <w:pPr>
              <w:adjustRightInd w:val="0"/>
              <w:snapToGrid w:val="0"/>
              <w:spacing w:line="300" w:lineRule="exact"/>
              <w:jc w:val="center"/>
              <w:rPr>
                <w:rFonts w:hint="eastAsia"/>
                <w:bCs/>
                <w:szCs w:val="21"/>
              </w:rPr>
            </w:pPr>
            <w:r>
              <w:rPr>
                <w:rFonts w:hint="eastAsia"/>
                <w:bCs/>
                <w:szCs w:val="21"/>
              </w:rPr>
              <w:t>8</w:t>
            </w:r>
          </w:p>
        </w:tc>
        <w:tc>
          <w:tcPr>
            <w:tcW w:w="2655" w:type="dxa"/>
            <w:noWrap w:val="0"/>
            <w:vAlign w:val="center"/>
          </w:tcPr>
          <w:p>
            <w:pPr>
              <w:adjustRightInd w:val="0"/>
              <w:snapToGrid w:val="0"/>
              <w:spacing w:line="300" w:lineRule="exact"/>
              <w:rPr>
                <w:rFonts w:hint="default" w:eastAsia="宋体"/>
                <w:bCs/>
                <w:szCs w:val="21"/>
                <w:lang w:val="en-US" w:eastAsia="zh-CN"/>
              </w:rPr>
            </w:pPr>
            <w:r>
              <w:rPr>
                <w:rFonts w:hint="eastAsia"/>
                <w:bCs/>
                <w:szCs w:val="21"/>
                <w:lang w:val="en-US" w:eastAsia="zh-CN"/>
              </w:rPr>
              <w:t>淹溺</w:t>
            </w:r>
          </w:p>
        </w:tc>
        <w:tc>
          <w:tcPr>
            <w:tcW w:w="2767" w:type="dxa"/>
            <w:tcBorders>
              <w:right w:val="single" w:color="auto" w:sz="4" w:space="0"/>
            </w:tcBorders>
            <w:noWrap w:val="0"/>
            <w:vAlign w:val="center"/>
          </w:tcPr>
          <w:p>
            <w:pPr>
              <w:adjustRightInd w:val="0"/>
              <w:snapToGrid w:val="0"/>
              <w:spacing w:line="300" w:lineRule="exact"/>
              <w:rPr>
                <w:rFonts w:hint="default" w:eastAsia="宋体"/>
                <w:bCs/>
                <w:szCs w:val="21"/>
                <w:lang w:val="en-US" w:eastAsia="zh-CN"/>
              </w:rPr>
            </w:pPr>
            <w:r>
              <w:rPr>
                <w:rFonts w:hint="eastAsia"/>
                <w:bCs/>
                <w:szCs w:val="21"/>
                <w:lang w:val="en-US" w:eastAsia="zh-CN"/>
              </w:rPr>
              <w:t>淤泥池、集水池等</w:t>
            </w:r>
          </w:p>
        </w:tc>
        <w:tc>
          <w:tcPr>
            <w:tcW w:w="2153" w:type="dxa"/>
            <w:tcBorders>
              <w:right w:val="single" w:color="auto" w:sz="4" w:space="0"/>
            </w:tcBorders>
            <w:noWrap w:val="0"/>
            <w:vAlign w:val="center"/>
          </w:tcPr>
          <w:p>
            <w:pPr>
              <w:adjustRightInd w:val="0"/>
              <w:snapToGrid w:val="0"/>
              <w:spacing w:line="300" w:lineRule="exact"/>
              <w:rPr>
                <w:bCs/>
                <w:szCs w:val="21"/>
              </w:rPr>
            </w:pPr>
            <w:r>
              <w:rPr>
                <w:bCs/>
                <w:szCs w:val="21"/>
              </w:rPr>
              <w:t>人员伤亡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691" w:type="dxa"/>
            <w:vMerge w:val="restart"/>
            <w:tcBorders>
              <w:left w:val="single" w:color="auto" w:sz="4" w:space="0"/>
            </w:tcBorders>
            <w:noWrap w:val="0"/>
            <w:vAlign w:val="center"/>
          </w:tcPr>
          <w:p>
            <w:pPr>
              <w:adjustRightInd w:val="0"/>
              <w:snapToGrid w:val="0"/>
              <w:spacing w:line="300" w:lineRule="exact"/>
              <w:jc w:val="center"/>
              <w:rPr>
                <w:bCs/>
                <w:szCs w:val="21"/>
              </w:rPr>
            </w:pPr>
            <w:r>
              <w:rPr>
                <w:bCs/>
                <w:szCs w:val="21"/>
              </w:rPr>
              <w:t>有害因素</w:t>
            </w:r>
          </w:p>
        </w:tc>
        <w:tc>
          <w:tcPr>
            <w:tcW w:w="682" w:type="dxa"/>
            <w:noWrap w:val="0"/>
            <w:vAlign w:val="center"/>
          </w:tcPr>
          <w:p>
            <w:pPr>
              <w:adjustRightInd w:val="0"/>
              <w:snapToGrid w:val="0"/>
              <w:spacing w:line="300" w:lineRule="exact"/>
              <w:jc w:val="center"/>
              <w:rPr>
                <w:bCs/>
                <w:szCs w:val="21"/>
              </w:rPr>
            </w:pPr>
            <w:r>
              <w:rPr>
                <w:bCs/>
                <w:szCs w:val="21"/>
              </w:rPr>
              <w:t>1</w:t>
            </w:r>
          </w:p>
        </w:tc>
        <w:tc>
          <w:tcPr>
            <w:tcW w:w="2655" w:type="dxa"/>
            <w:noWrap w:val="0"/>
            <w:vAlign w:val="center"/>
          </w:tcPr>
          <w:p>
            <w:pPr>
              <w:adjustRightInd w:val="0"/>
              <w:snapToGrid w:val="0"/>
              <w:spacing w:line="300" w:lineRule="exact"/>
              <w:rPr>
                <w:bCs/>
                <w:szCs w:val="21"/>
              </w:rPr>
            </w:pPr>
            <w:r>
              <w:rPr>
                <w:bCs/>
                <w:szCs w:val="21"/>
              </w:rPr>
              <w:t>粉尘</w:t>
            </w:r>
          </w:p>
        </w:tc>
        <w:tc>
          <w:tcPr>
            <w:tcW w:w="2767" w:type="dxa"/>
            <w:tcBorders>
              <w:right w:val="single" w:color="auto" w:sz="4" w:space="0"/>
            </w:tcBorders>
            <w:noWrap w:val="0"/>
            <w:vAlign w:val="center"/>
          </w:tcPr>
          <w:p>
            <w:pPr>
              <w:adjustRightInd w:val="0"/>
              <w:snapToGrid w:val="0"/>
              <w:spacing w:line="300" w:lineRule="exact"/>
              <w:rPr>
                <w:bCs/>
                <w:szCs w:val="21"/>
              </w:rPr>
            </w:pPr>
            <w:r>
              <w:rPr>
                <w:bCs/>
                <w:szCs w:val="21"/>
              </w:rPr>
              <w:t>采场铲装工作面、矿岩转运作业</w:t>
            </w:r>
          </w:p>
        </w:tc>
        <w:tc>
          <w:tcPr>
            <w:tcW w:w="2153" w:type="dxa"/>
            <w:tcBorders>
              <w:right w:val="single" w:color="auto" w:sz="4" w:space="0"/>
            </w:tcBorders>
            <w:noWrap w:val="0"/>
            <w:vAlign w:val="center"/>
          </w:tcPr>
          <w:p>
            <w:pPr>
              <w:adjustRightInd w:val="0"/>
              <w:snapToGrid w:val="0"/>
              <w:spacing w:line="300" w:lineRule="exact"/>
              <w:rPr>
                <w:bCs/>
                <w:szCs w:val="21"/>
              </w:rPr>
            </w:pPr>
            <w:r>
              <w:rPr>
                <w:bCs/>
                <w:szCs w:val="21"/>
              </w:rPr>
              <w:t>慢性伤害、职业病</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1" w:type="dxa"/>
            <w:vMerge w:val="continue"/>
            <w:tcBorders>
              <w:left w:val="single" w:color="auto" w:sz="4" w:space="0"/>
            </w:tcBorders>
            <w:noWrap w:val="0"/>
            <w:vAlign w:val="center"/>
          </w:tcPr>
          <w:p>
            <w:pPr>
              <w:adjustRightInd w:val="0"/>
              <w:snapToGrid w:val="0"/>
              <w:spacing w:line="300" w:lineRule="exact"/>
              <w:jc w:val="center"/>
              <w:rPr>
                <w:bCs/>
                <w:szCs w:val="21"/>
              </w:rPr>
            </w:pPr>
          </w:p>
        </w:tc>
        <w:tc>
          <w:tcPr>
            <w:tcW w:w="682" w:type="dxa"/>
            <w:noWrap w:val="0"/>
            <w:vAlign w:val="center"/>
          </w:tcPr>
          <w:p>
            <w:pPr>
              <w:adjustRightInd w:val="0"/>
              <w:snapToGrid w:val="0"/>
              <w:spacing w:line="300" w:lineRule="exact"/>
              <w:jc w:val="center"/>
              <w:rPr>
                <w:bCs/>
                <w:szCs w:val="21"/>
              </w:rPr>
            </w:pPr>
            <w:r>
              <w:rPr>
                <w:bCs/>
                <w:szCs w:val="21"/>
              </w:rPr>
              <w:t>2</w:t>
            </w:r>
          </w:p>
        </w:tc>
        <w:tc>
          <w:tcPr>
            <w:tcW w:w="2655" w:type="dxa"/>
            <w:noWrap w:val="0"/>
            <w:vAlign w:val="center"/>
          </w:tcPr>
          <w:p>
            <w:pPr>
              <w:adjustRightInd w:val="0"/>
              <w:snapToGrid w:val="0"/>
              <w:spacing w:line="300" w:lineRule="exact"/>
              <w:rPr>
                <w:bCs/>
                <w:szCs w:val="21"/>
              </w:rPr>
            </w:pPr>
            <w:r>
              <w:rPr>
                <w:bCs/>
                <w:szCs w:val="21"/>
              </w:rPr>
              <w:t>噪声</w:t>
            </w:r>
          </w:p>
        </w:tc>
        <w:tc>
          <w:tcPr>
            <w:tcW w:w="2767" w:type="dxa"/>
            <w:tcBorders>
              <w:right w:val="single" w:color="auto" w:sz="4" w:space="0"/>
            </w:tcBorders>
            <w:noWrap w:val="0"/>
            <w:vAlign w:val="center"/>
          </w:tcPr>
          <w:p>
            <w:pPr>
              <w:adjustRightInd w:val="0"/>
              <w:snapToGrid w:val="0"/>
              <w:spacing w:line="300" w:lineRule="exact"/>
              <w:rPr>
                <w:bCs/>
                <w:szCs w:val="21"/>
              </w:rPr>
            </w:pPr>
            <w:r>
              <w:rPr>
                <w:bCs/>
                <w:szCs w:val="21"/>
              </w:rPr>
              <w:t>挖掘机、</w:t>
            </w:r>
            <w:r>
              <w:rPr>
                <w:rFonts w:hint="eastAsia"/>
                <w:bCs/>
                <w:szCs w:val="21"/>
              </w:rPr>
              <w:t>装载机</w:t>
            </w:r>
            <w:r>
              <w:rPr>
                <w:bCs/>
                <w:szCs w:val="21"/>
              </w:rPr>
              <w:t>等设备</w:t>
            </w:r>
          </w:p>
        </w:tc>
        <w:tc>
          <w:tcPr>
            <w:tcW w:w="2153" w:type="dxa"/>
            <w:tcBorders>
              <w:right w:val="single" w:color="auto" w:sz="4" w:space="0"/>
            </w:tcBorders>
            <w:noWrap w:val="0"/>
            <w:vAlign w:val="center"/>
          </w:tcPr>
          <w:p>
            <w:pPr>
              <w:adjustRightInd w:val="0"/>
              <w:snapToGrid w:val="0"/>
              <w:spacing w:line="300" w:lineRule="exact"/>
              <w:rPr>
                <w:bCs/>
                <w:szCs w:val="21"/>
              </w:rPr>
            </w:pPr>
            <w:r>
              <w:rPr>
                <w:bCs/>
                <w:szCs w:val="21"/>
              </w:rPr>
              <w:t>慢性伤害、职业病</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1" w:type="dxa"/>
            <w:vMerge w:val="continue"/>
            <w:tcBorders>
              <w:left w:val="single" w:color="auto" w:sz="4" w:space="0"/>
            </w:tcBorders>
            <w:noWrap w:val="0"/>
            <w:vAlign w:val="center"/>
          </w:tcPr>
          <w:p>
            <w:pPr>
              <w:adjustRightInd w:val="0"/>
              <w:snapToGrid w:val="0"/>
              <w:spacing w:line="300" w:lineRule="exact"/>
              <w:jc w:val="center"/>
              <w:rPr>
                <w:bCs/>
                <w:szCs w:val="21"/>
              </w:rPr>
            </w:pPr>
          </w:p>
        </w:tc>
        <w:tc>
          <w:tcPr>
            <w:tcW w:w="682" w:type="dxa"/>
            <w:noWrap w:val="0"/>
            <w:vAlign w:val="center"/>
          </w:tcPr>
          <w:p>
            <w:pPr>
              <w:adjustRightInd w:val="0"/>
              <w:snapToGrid w:val="0"/>
              <w:spacing w:line="300" w:lineRule="exact"/>
              <w:jc w:val="center"/>
              <w:rPr>
                <w:bCs/>
                <w:szCs w:val="21"/>
              </w:rPr>
            </w:pPr>
            <w:r>
              <w:rPr>
                <w:bCs/>
                <w:szCs w:val="21"/>
              </w:rPr>
              <w:t>3</w:t>
            </w:r>
          </w:p>
        </w:tc>
        <w:tc>
          <w:tcPr>
            <w:tcW w:w="2655" w:type="dxa"/>
            <w:noWrap w:val="0"/>
            <w:vAlign w:val="center"/>
          </w:tcPr>
          <w:p>
            <w:pPr>
              <w:adjustRightInd w:val="0"/>
              <w:snapToGrid w:val="0"/>
              <w:spacing w:line="300" w:lineRule="exact"/>
              <w:rPr>
                <w:bCs/>
                <w:szCs w:val="21"/>
              </w:rPr>
            </w:pPr>
            <w:r>
              <w:rPr>
                <w:bCs/>
                <w:szCs w:val="21"/>
              </w:rPr>
              <w:t>高温</w:t>
            </w:r>
          </w:p>
        </w:tc>
        <w:tc>
          <w:tcPr>
            <w:tcW w:w="2767" w:type="dxa"/>
            <w:tcBorders>
              <w:right w:val="single" w:color="auto" w:sz="4" w:space="0"/>
            </w:tcBorders>
            <w:noWrap w:val="0"/>
            <w:vAlign w:val="center"/>
          </w:tcPr>
          <w:p>
            <w:pPr>
              <w:adjustRightInd w:val="0"/>
              <w:snapToGrid w:val="0"/>
              <w:spacing w:line="300" w:lineRule="exact"/>
              <w:rPr>
                <w:bCs/>
                <w:szCs w:val="21"/>
              </w:rPr>
            </w:pPr>
            <w:r>
              <w:rPr>
                <w:bCs/>
                <w:szCs w:val="21"/>
              </w:rPr>
              <w:t>露天作业</w:t>
            </w:r>
          </w:p>
        </w:tc>
        <w:tc>
          <w:tcPr>
            <w:tcW w:w="2153" w:type="dxa"/>
            <w:tcBorders>
              <w:right w:val="single" w:color="auto" w:sz="4" w:space="0"/>
            </w:tcBorders>
            <w:noWrap w:val="0"/>
            <w:vAlign w:val="center"/>
          </w:tcPr>
          <w:p>
            <w:pPr>
              <w:adjustRightInd w:val="0"/>
              <w:snapToGrid w:val="0"/>
              <w:spacing w:line="300" w:lineRule="exact"/>
              <w:rPr>
                <w:bCs/>
                <w:szCs w:val="21"/>
              </w:rPr>
            </w:pPr>
            <w:r>
              <w:rPr>
                <w:bCs/>
                <w:szCs w:val="21"/>
              </w:rPr>
              <w:t>中暑等</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5" w:hRule="atLeast"/>
          <w:jc w:val="center"/>
        </w:trPr>
        <w:tc>
          <w:tcPr>
            <w:tcW w:w="691" w:type="dxa"/>
            <w:vMerge w:val="restart"/>
            <w:tcBorders>
              <w:left w:val="single" w:color="auto" w:sz="4" w:space="0"/>
            </w:tcBorders>
            <w:noWrap w:val="0"/>
            <w:vAlign w:val="center"/>
          </w:tcPr>
          <w:p>
            <w:pPr>
              <w:adjustRightInd w:val="0"/>
              <w:snapToGrid w:val="0"/>
              <w:spacing w:line="300" w:lineRule="exact"/>
              <w:jc w:val="center"/>
              <w:rPr>
                <w:bCs/>
                <w:szCs w:val="21"/>
              </w:rPr>
            </w:pPr>
            <w:r>
              <w:rPr>
                <w:bCs/>
                <w:szCs w:val="21"/>
              </w:rPr>
              <w:t>管理因素</w:t>
            </w:r>
          </w:p>
        </w:tc>
        <w:tc>
          <w:tcPr>
            <w:tcW w:w="682" w:type="dxa"/>
            <w:noWrap w:val="0"/>
            <w:vAlign w:val="center"/>
          </w:tcPr>
          <w:p>
            <w:pPr>
              <w:adjustRightInd w:val="0"/>
              <w:snapToGrid w:val="0"/>
              <w:spacing w:line="300" w:lineRule="exact"/>
              <w:jc w:val="center"/>
              <w:rPr>
                <w:bCs/>
                <w:szCs w:val="21"/>
              </w:rPr>
            </w:pPr>
            <w:r>
              <w:rPr>
                <w:bCs/>
                <w:szCs w:val="21"/>
              </w:rPr>
              <w:t>1</w:t>
            </w:r>
          </w:p>
        </w:tc>
        <w:tc>
          <w:tcPr>
            <w:tcW w:w="2655" w:type="dxa"/>
            <w:noWrap w:val="0"/>
            <w:vAlign w:val="center"/>
          </w:tcPr>
          <w:p>
            <w:pPr>
              <w:adjustRightInd w:val="0"/>
              <w:snapToGrid w:val="0"/>
              <w:spacing w:line="300" w:lineRule="exact"/>
              <w:rPr>
                <w:bCs/>
                <w:szCs w:val="21"/>
              </w:rPr>
            </w:pPr>
            <w:r>
              <w:rPr>
                <w:bCs/>
                <w:szCs w:val="21"/>
              </w:rPr>
              <w:t>未建立安全生产管理机构或安全生产监督检查不到位</w:t>
            </w:r>
          </w:p>
        </w:tc>
        <w:tc>
          <w:tcPr>
            <w:tcW w:w="2767" w:type="dxa"/>
            <w:vMerge w:val="restart"/>
            <w:tcBorders>
              <w:right w:val="single" w:color="auto" w:sz="4" w:space="0"/>
            </w:tcBorders>
            <w:noWrap w:val="0"/>
            <w:vAlign w:val="center"/>
          </w:tcPr>
          <w:p>
            <w:pPr>
              <w:adjustRightInd w:val="0"/>
              <w:snapToGrid w:val="0"/>
              <w:spacing w:line="300" w:lineRule="exact"/>
              <w:rPr>
                <w:bCs/>
                <w:szCs w:val="21"/>
              </w:rPr>
            </w:pPr>
            <w:r>
              <w:rPr>
                <w:bCs/>
                <w:szCs w:val="21"/>
              </w:rPr>
              <w:t>安全管理过程中，安全生产命令执行过程中</w:t>
            </w:r>
          </w:p>
        </w:tc>
        <w:tc>
          <w:tcPr>
            <w:tcW w:w="2153" w:type="dxa"/>
            <w:vMerge w:val="restart"/>
            <w:tcBorders>
              <w:right w:val="single" w:color="auto" w:sz="4" w:space="0"/>
            </w:tcBorders>
            <w:noWrap w:val="0"/>
            <w:vAlign w:val="center"/>
          </w:tcPr>
          <w:p>
            <w:pPr>
              <w:adjustRightInd w:val="0"/>
              <w:snapToGrid w:val="0"/>
              <w:spacing w:line="300" w:lineRule="exact"/>
              <w:rPr>
                <w:bCs/>
                <w:szCs w:val="21"/>
              </w:rPr>
            </w:pPr>
            <w:r>
              <w:rPr>
                <w:bCs/>
                <w:szCs w:val="21"/>
              </w:rPr>
              <w:t>人员伤亡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1" w:type="dxa"/>
            <w:vMerge w:val="continue"/>
            <w:tcBorders>
              <w:left w:val="single" w:color="auto" w:sz="4" w:space="0"/>
            </w:tcBorders>
            <w:noWrap w:val="0"/>
            <w:vAlign w:val="center"/>
          </w:tcPr>
          <w:p>
            <w:pPr>
              <w:adjustRightInd w:val="0"/>
              <w:snapToGrid w:val="0"/>
              <w:spacing w:line="300" w:lineRule="exact"/>
              <w:rPr>
                <w:bCs/>
                <w:szCs w:val="21"/>
              </w:rPr>
            </w:pPr>
          </w:p>
        </w:tc>
        <w:tc>
          <w:tcPr>
            <w:tcW w:w="682" w:type="dxa"/>
            <w:noWrap w:val="0"/>
            <w:vAlign w:val="center"/>
          </w:tcPr>
          <w:p>
            <w:pPr>
              <w:adjustRightInd w:val="0"/>
              <w:snapToGrid w:val="0"/>
              <w:spacing w:line="300" w:lineRule="exact"/>
              <w:jc w:val="center"/>
              <w:rPr>
                <w:bCs/>
                <w:szCs w:val="21"/>
              </w:rPr>
            </w:pPr>
            <w:r>
              <w:rPr>
                <w:bCs/>
                <w:szCs w:val="21"/>
              </w:rPr>
              <w:t>2</w:t>
            </w:r>
          </w:p>
        </w:tc>
        <w:tc>
          <w:tcPr>
            <w:tcW w:w="2655" w:type="dxa"/>
            <w:noWrap w:val="0"/>
            <w:vAlign w:val="center"/>
          </w:tcPr>
          <w:p>
            <w:pPr>
              <w:adjustRightInd w:val="0"/>
              <w:snapToGrid w:val="0"/>
              <w:spacing w:line="300" w:lineRule="exact"/>
              <w:rPr>
                <w:bCs/>
                <w:szCs w:val="21"/>
              </w:rPr>
            </w:pPr>
            <w:r>
              <w:rPr>
                <w:bCs/>
                <w:szCs w:val="21"/>
              </w:rPr>
              <w:t>未建立安全生产责任制、安全管理制度及操作规程，或者不健全</w:t>
            </w:r>
          </w:p>
        </w:tc>
        <w:tc>
          <w:tcPr>
            <w:tcW w:w="2767" w:type="dxa"/>
            <w:vMerge w:val="continue"/>
            <w:tcBorders>
              <w:right w:val="single" w:color="auto" w:sz="4" w:space="0"/>
            </w:tcBorders>
            <w:noWrap w:val="0"/>
            <w:vAlign w:val="center"/>
          </w:tcPr>
          <w:p>
            <w:pPr>
              <w:adjustRightInd w:val="0"/>
              <w:snapToGrid w:val="0"/>
              <w:spacing w:line="300" w:lineRule="exact"/>
              <w:rPr>
                <w:bCs/>
                <w:szCs w:val="21"/>
              </w:rPr>
            </w:pPr>
          </w:p>
        </w:tc>
        <w:tc>
          <w:tcPr>
            <w:tcW w:w="2153" w:type="dxa"/>
            <w:vMerge w:val="continue"/>
            <w:tcBorders>
              <w:right w:val="single" w:color="auto" w:sz="4" w:space="0"/>
            </w:tcBorders>
            <w:noWrap w:val="0"/>
            <w:vAlign w:val="center"/>
          </w:tcPr>
          <w:p>
            <w:pPr>
              <w:adjustRightInd w:val="0"/>
              <w:snapToGrid w:val="0"/>
              <w:spacing w:line="300" w:lineRule="exact"/>
              <w:rPr>
                <w:bCs/>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1" w:type="dxa"/>
            <w:vMerge w:val="continue"/>
            <w:tcBorders>
              <w:left w:val="single" w:color="auto" w:sz="4" w:space="0"/>
            </w:tcBorders>
            <w:noWrap w:val="0"/>
            <w:vAlign w:val="center"/>
          </w:tcPr>
          <w:p>
            <w:pPr>
              <w:adjustRightInd w:val="0"/>
              <w:snapToGrid w:val="0"/>
              <w:spacing w:line="300" w:lineRule="exact"/>
              <w:rPr>
                <w:bCs/>
                <w:szCs w:val="21"/>
              </w:rPr>
            </w:pPr>
          </w:p>
        </w:tc>
        <w:tc>
          <w:tcPr>
            <w:tcW w:w="682" w:type="dxa"/>
            <w:noWrap w:val="0"/>
            <w:vAlign w:val="center"/>
          </w:tcPr>
          <w:p>
            <w:pPr>
              <w:adjustRightInd w:val="0"/>
              <w:snapToGrid w:val="0"/>
              <w:spacing w:line="300" w:lineRule="exact"/>
              <w:jc w:val="center"/>
              <w:rPr>
                <w:bCs/>
                <w:szCs w:val="21"/>
              </w:rPr>
            </w:pPr>
            <w:r>
              <w:rPr>
                <w:bCs/>
                <w:szCs w:val="21"/>
              </w:rPr>
              <w:t>3</w:t>
            </w:r>
          </w:p>
        </w:tc>
        <w:tc>
          <w:tcPr>
            <w:tcW w:w="2655" w:type="dxa"/>
            <w:noWrap w:val="0"/>
            <w:vAlign w:val="center"/>
          </w:tcPr>
          <w:p>
            <w:pPr>
              <w:adjustRightInd w:val="0"/>
              <w:snapToGrid w:val="0"/>
              <w:spacing w:line="300" w:lineRule="exact"/>
              <w:rPr>
                <w:bCs/>
                <w:szCs w:val="21"/>
              </w:rPr>
            </w:pPr>
            <w:r>
              <w:rPr>
                <w:bCs/>
                <w:szCs w:val="21"/>
              </w:rPr>
              <w:t>特种作业人员未取证上岗</w:t>
            </w:r>
          </w:p>
        </w:tc>
        <w:tc>
          <w:tcPr>
            <w:tcW w:w="2767" w:type="dxa"/>
            <w:vMerge w:val="continue"/>
            <w:tcBorders>
              <w:right w:val="single" w:color="auto" w:sz="4" w:space="0"/>
            </w:tcBorders>
            <w:noWrap w:val="0"/>
            <w:vAlign w:val="center"/>
          </w:tcPr>
          <w:p>
            <w:pPr>
              <w:adjustRightInd w:val="0"/>
              <w:snapToGrid w:val="0"/>
              <w:spacing w:line="300" w:lineRule="exact"/>
              <w:rPr>
                <w:bCs/>
                <w:szCs w:val="21"/>
              </w:rPr>
            </w:pPr>
          </w:p>
        </w:tc>
        <w:tc>
          <w:tcPr>
            <w:tcW w:w="2153" w:type="dxa"/>
            <w:vMerge w:val="continue"/>
            <w:tcBorders>
              <w:right w:val="single" w:color="auto" w:sz="4" w:space="0"/>
            </w:tcBorders>
            <w:noWrap w:val="0"/>
            <w:vAlign w:val="center"/>
          </w:tcPr>
          <w:p>
            <w:pPr>
              <w:adjustRightInd w:val="0"/>
              <w:snapToGrid w:val="0"/>
              <w:spacing w:line="300" w:lineRule="exact"/>
              <w:rPr>
                <w:bCs/>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1" w:type="dxa"/>
            <w:vMerge w:val="continue"/>
            <w:tcBorders>
              <w:left w:val="single" w:color="auto" w:sz="4" w:space="0"/>
            </w:tcBorders>
            <w:noWrap w:val="0"/>
            <w:vAlign w:val="center"/>
          </w:tcPr>
          <w:p>
            <w:pPr>
              <w:adjustRightInd w:val="0"/>
              <w:snapToGrid w:val="0"/>
              <w:spacing w:line="300" w:lineRule="exact"/>
              <w:rPr>
                <w:bCs/>
                <w:szCs w:val="21"/>
              </w:rPr>
            </w:pPr>
          </w:p>
        </w:tc>
        <w:tc>
          <w:tcPr>
            <w:tcW w:w="682" w:type="dxa"/>
            <w:noWrap w:val="0"/>
            <w:vAlign w:val="center"/>
          </w:tcPr>
          <w:p>
            <w:pPr>
              <w:adjustRightInd w:val="0"/>
              <w:snapToGrid w:val="0"/>
              <w:spacing w:line="300" w:lineRule="exact"/>
              <w:jc w:val="center"/>
              <w:rPr>
                <w:rFonts w:hint="eastAsia"/>
                <w:bCs/>
                <w:szCs w:val="21"/>
              </w:rPr>
            </w:pPr>
            <w:r>
              <w:rPr>
                <w:rFonts w:hint="eastAsia"/>
                <w:bCs/>
                <w:szCs w:val="21"/>
              </w:rPr>
              <w:t>4</w:t>
            </w:r>
          </w:p>
        </w:tc>
        <w:tc>
          <w:tcPr>
            <w:tcW w:w="2655" w:type="dxa"/>
            <w:noWrap w:val="0"/>
            <w:vAlign w:val="center"/>
          </w:tcPr>
          <w:p>
            <w:pPr>
              <w:spacing w:line="300" w:lineRule="exact"/>
              <w:rPr>
                <w:bCs/>
                <w:szCs w:val="21"/>
              </w:rPr>
            </w:pPr>
            <w:r>
              <w:rPr>
                <w:bCs/>
                <w:szCs w:val="21"/>
              </w:rPr>
              <w:t>职业安全健康管理不完善</w:t>
            </w:r>
          </w:p>
        </w:tc>
        <w:tc>
          <w:tcPr>
            <w:tcW w:w="2767" w:type="dxa"/>
            <w:vMerge w:val="continue"/>
            <w:tcBorders>
              <w:right w:val="single" w:color="auto" w:sz="4" w:space="0"/>
            </w:tcBorders>
            <w:noWrap w:val="0"/>
            <w:vAlign w:val="center"/>
          </w:tcPr>
          <w:p>
            <w:pPr>
              <w:adjustRightInd w:val="0"/>
              <w:snapToGrid w:val="0"/>
              <w:spacing w:line="300" w:lineRule="exact"/>
              <w:rPr>
                <w:bCs/>
                <w:szCs w:val="21"/>
              </w:rPr>
            </w:pPr>
          </w:p>
        </w:tc>
        <w:tc>
          <w:tcPr>
            <w:tcW w:w="2153" w:type="dxa"/>
            <w:vMerge w:val="continue"/>
            <w:tcBorders>
              <w:right w:val="single" w:color="auto" w:sz="4" w:space="0"/>
            </w:tcBorders>
            <w:noWrap w:val="0"/>
            <w:vAlign w:val="center"/>
          </w:tcPr>
          <w:p>
            <w:pPr>
              <w:adjustRightInd w:val="0"/>
              <w:snapToGrid w:val="0"/>
              <w:spacing w:line="300" w:lineRule="exact"/>
              <w:rPr>
                <w:bCs/>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91" w:type="dxa"/>
            <w:vMerge w:val="continue"/>
            <w:tcBorders>
              <w:left w:val="single" w:color="auto" w:sz="4" w:space="0"/>
            </w:tcBorders>
            <w:noWrap w:val="0"/>
            <w:vAlign w:val="center"/>
          </w:tcPr>
          <w:p>
            <w:pPr>
              <w:adjustRightInd w:val="0"/>
              <w:snapToGrid w:val="0"/>
              <w:spacing w:line="300" w:lineRule="exact"/>
              <w:rPr>
                <w:bCs/>
                <w:szCs w:val="21"/>
              </w:rPr>
            </w:pPr>
          </w:p>
        </w:tc>
        <w:tc>
          <w:tcPr>
            <w:tcW w:w="682" w:type="dxa"/>
            <w:noWrap w:val="0"/>
            <w:vAlign w:val="center"/>
          </w:tcPr>
          <w:p>
            <w:pPr>
              <w:adjustRightInd w:val="0"/>
              <w:snapToGrid w:val="0"/>
              <w:spacing w:line="300" w:lineRule="exact"/>
              <w:jc w:val="center"/>
              <w:rPr>
                <w:rFonts w:hint="eastAsia"/>
                <w:bCs/>
                <w:szCs w:val="21"/>
              </w:rPr>
            </w:pPr>
            <w:r>
              <w:rPr>
                <w:rFonts w:hint="eastAsia"/>
                <w:bCs/>
                <w:szCs w:val="21"/>
              </w:rPr>
              <w:t>5</w:t>
            </w:r>
          </w:p>
        </w:tc>
        <w:tc>
          <w:tcPr>
            <w:tcW w:w="2655" w:type="dxa"/>
            <w:noWrap w:val="0"/>
            <w:vAlign w:val="center"/>
          </w:tcPr>
          <w:p>
            <w:pPr>
              <w:spacing w:line="300" w:lineRule="exact"/>
              <w:rPr>
                <w:bCs/>
                <w:szCs w:val="21"/>
              </w:rPr>
            </w:pPr>
            <w:r>
              <w:rPr>
                <w:bCs/>
                <w:szCs w:val="21"/>
              </w:rPr>
              <w:t>职业安全健康投入不足</w:t>
            </w:r>
          </w:p>
        </w:tc>
        <w:tc>
          <w:tcPr>
            <w:tcW w:w="2767" w:type="dxa"/>
            <w:vMerge w:val="continue"/>
            <w:tcBorders>
              <w:right w:val="single" w:color="auto" w:sz="4" w:space="0"/>
            </w:tcBorders>
            <w:noWrap w:val="0"/>
            <w:vAlign w:val="center"/>
          </w:tcPr>
          <w:p>
            <w:pPr>
              <w:adjustRightInd w:val="0"/>
              <w:snapToGrid w:val="0"/>
              <w:spacing w:line="300" w:lineRule="exact"/>
              <w:rPr>
                <w:bCs/>
                <w:szCs w:val="21"/>
              </w:rPr>
            </w:pPr>
          </w:p>
        </w:tc>
        <w:tc>
          <w:tcPr>
            <w:tcW w:w="2153" w:type="dxa"/>
            <w:vMerge w:val="continue"/>
            <w:tcBorders>
              <w:right w:val="single" w:color="auto" w:sz="4" w:space="0"/>
            </w:tcBorders>
            <w:noWrap w:val="0"/>
            <w:vAlign w:val="center"/>
          </w:tcPr>
          <w:p>
            <w:pPr>
              <w:adjustRightInd w:val="0"/>
              <w:snapToGrid w:val="0"/>
              <w:spacing w:line="300" w:lineRule="exact"/>
              <w:rPr>
                <w:bCs/>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6" w:hRule="atLeast"/>
          <w:jc w:val="center"/>
        </w:trPr>
        <w:tc>
          <w:tcPr>
            <w:tcW w:w="691" w:type="dxa"/>
            <w:vMerge w:val="continue"/>
            <w:tcBorders>
              <w:left w:val="single" w:color="auto" w:sz="4" w:space="0"/>
            </w:tcBorders>
            <w:noWrap w:val="0"/>
            <w:vAlign w:val="center"/>
          </w:tcPr>
          <w:p>
            <w:pPr>
              <w:adjustRightInd w:val="0"/>
              <w:snapToGrid w:val="0"/>
              <w:spacing w:line="300" w:lineRule="exact"/>
              <w:rPr>
                <w:bCs/>
                <w:szCs w:val="21"/>
              </w:rPr>
            </w:pPr>
          </w:p>
        </w:tc>
        <w:tc>
          <w:tcPr>
            <w:tcW w:w="682" w:type="dxa"/>
            <w:noWrap w:val="0"/>
            <w:vAlign w:val="center"/>
          </w:tcPr>
          <w:p>
            <w:pPr>
              <w:adjustRightInd w:val="0"/>
              <w:snapToGrid w:val="0"/>
              <w:spacing w:line="300" w:lineRule="exact"/>
              <w:jc w:val="center"/>
              <w:rPr>
                <w:rFonts w:hint="eastAsia"/>
                <w:bCs/>
                <w:szCs w:val="21"/>
              </w:rPr>
            </w:pPr>
            <w:r>
              <w:rPr>
                <w:rFonts w:hint="eastAsia"/>
                <w:bCs/>
                <w:szCs w:val="21"/>
              </w:rPr>
              <w:t>6</w:t>
            </w:r>
          </w:p>
        </w:tc>
        <w:tc>
          <w:tcPr>
            <w:tcW w:w="2655" w:type="dxa"/>
            <w:noWrap w:val="0"/>
            <w:vAlign w:val="center"/>
          </w:tcPr>
          <w:p>
            <w:pPr>
              <w:adjustRightInd w:val="0"/>
              <w:snapToGrid w:val="0"/>
              <w:spacing w:line="300" w:lineRule="exact"/>
              <w:rPr>
                <w:bCs/>
                <w:szCs w:val="21"/>
              </w:rPr>
            </w:pPr>
            <w:r>
              <w:rPr>
                <w:bCs/>
                <w:szCs w:val="21"/>
              </w:rPr>
              <w:t>违章指挥、违章操作</w:t>
            </w:r>
          </w:p>
        </w:tc>
        <w:tc>
          <w:tcPr>
            <w:tcW w:w="2767" w:type="dxa"/>
            <w:vMerge w:val="continue"/>
            <w:tcBorders>
              <w:right w:val="single" w:color="auto" w:sz="4" w:space="0"/>
            </w:tcBorders>
            <w:noWrap w:val="0"/>
            <w:vAlign w:val="center"/>
          </w:tcPr>
          <w:p>
            <w:pPr>
              <w:adjustRightInd w:val="0"/>
              <w:snapToGrid w:val="0"/>
              <w:spacing w:line="300" w:lineRule="exact"/>
              <w:rPr>
                <w:bCs/>
                <w:szCs w:val="21"/>
              </w:rPr>
            </w:pPr>
          </w:p>
        </w:tc>
        <w:tc>
          <w:tcPr>
            <w:tcW w:w="2153" w:type="dxa"/>
            <w:vMerge w:val="continue"/>
            <w:tcBorders>
              <w:right w:val="single" w:color="auto" w:sz="4" w:space="0"/>
            </w:tcBorders>
            <w:noWrap w:val="0"/>
            <w:vAlign w:val="center"/>
          </w:tcPr>
          <w:p>
            <w:pPr>
              <w:adjustRightInd w:val="0"/>
              <w:snapToGrid w:val="0"/>
              <w:spacing w:line="300" w:lineRule="exact"/>
              <w:rPr>
                <w:bCs/>
                <w:szCs w:val="21"/>
              </w:rPr>
            </w:pPr>
          </w:p>
        </w:tc>
      </w:tr>
    </w:tbl>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sz w:val="28"/>
          <w:szCs w:val="28"/>
        </w:rPr>
      </w:pPr>
      <w:r>
        <w:rPr>
          <w:sz w:val="28"/>
          <w:szCs w:val="28"/>
          <w:lang w:val="en-GB"/>
        </w:rPr>
        <w:t>主要</w:t>
      </w:r>
      <w:r>
        <w:rPr>
          <w:rFonts w:hint="eastAsia"/>
          <w:sz w:val="28"/>
          <w:szCs w:val="28"/>
          <w:lang w:val="en-GB"/>
        </w:rPr>
        <w:t>危险、有害因素</w:t>
      </w:r>
      <w:r>
        <w:rPr>
          <w:sz w:val="28"/>
          <w:szCs w:val="28"/>
          <w:lang w:val="en-GB"/>
        </w:rPr>
        <w:t>有：采场边坡失稳(滚石、</w:t>
      </w:r>
      <w:r>
        <w:rPr>
          <w:rFonts w:hint="eastAsia"/>
          <w:sz w:val="28"/>
          <w:szCs w:val="28"/>
          <w:lang w:val="en-US" w:eastAsia="zh-CN"/>
        </w:rPr>
        <w:t>坍塌、</w:t>
      </w:r>
      <w:r>
        <w:rPr>
          <w:sz w:val="28"/>
          <w:szCs w:val="28"/>
          <w:lang w:val="en-GB"/>
        </w:rPr>
        <w:t>滑坡、泥石流)</w:t>
      </w:r>
      <w:r>
        <w:rPr>
          <w:rFonts w:hint="eastAsia"/>
          <w:sz w:val="28"/>
          <w:szCs w:val="28"/>
          <w:lang w:val="en-GB"/>
        </w:rPr>
        <w:t>、物体打击、</w:t>
      </w:r>
      <w:r>
        <w:rPr>
          <w:sz w:val="28"/>
          <w:szCs w:val="28"/>
          <w:lang w:val="en-GB"/>
        </w:rPr>
        <w:t>高处坠落，车辆伤害，机械伤害</w:t>
      </w:r>
      <w:r>
        <w:rPr>
          <w:rFonts w:hint="eastAsia"/>
          <w:sz w:val="28"/>
          <w:szCs w:val="28"/>
          <w:lang w:val="en-GB"/>
        </w:rPr>
        <w:t>、</w:t>
      </w:r>
      <w:r>
        <w:rPr>
          <w:rFonts w:hint="eastAsia"/>
          <w:sz w:val="28"/>
          <w:szCs w:val="28"/>
        </w:rPr>
        <w:t>火灾、触电</w:t>
      </w:r>
      <w:r>
        <w:rPr>
          <w:rFonts w:hint="eastAsia"/>
          <w:sz w:val="28"/>
          <w:szCs w:val="28"/>
          <w:lang w:eastAsia="zh-CN"/>
        </w:rPr>
        <w:t>、</w:t>
      </w:r>
      <w:r>
        <w:rPr>
          <w:rFonts w:hint="eastAsia"/>
          <w:sz w:val="28"/>
          <w:szCs w:val="28"/>
          <w:lang w:val="en-US" w:eastAsia="zh-CN"/>
        </w:rPr>
        <w:t>淹溺</w:t>
      </w:r>
      <w:r>
        <w:rPr>
          <w:sz w:val="28"/>
          <w:szCs w:val="28"/>
          <w:lang w:val="en-GB"/>
        </w:rPr>
        <w:t>等</w:t>
      </w:r>
      <w:r>
        <w:rPr>
          <w:sz w:val="28"/>
          <w:szCs w:val="28"/>
        </w:rPr>
        <w:t>。</w:t>
      </w:r>
    </w:p>
    <w:p>
      <w:pPr>
        <w:pStyle w:val="4"/>
        <w:bidi w:val="0"/>
      </w:pPr>
      <w:bookmarkStart w:id="264" w:name="_Toc23836"/>
      <w:bookmarkStart w:id="265" w:name="_Toc1688"/>
      <w:r>
        <w:rPr>
          <w:rFonts w:hint="eastAsia"/>
        </w:rPr>
        <w:t>3.</w:t>
      </w:r>
      <w:r>
        <w:rPr>
          <w:rFonts w:hint="eastAsia"/>
          <w:lang w:val="en-US" w:eastAsia="zh-CN"/>
        </w:rPr>
        <w:t>3</w:t>
      </w:r>
      <w:r>
        <w:rPr>
          <w:rFonts w:hint="eastAsia"/>
        </w:rPr>
        <w:t>主要危险、有害物质辨识与分析</w:t>
      </w:r>
      <w:bookmarkEnd w:id="264"/>
      <w:bookmarkEnd w:id="265"/>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sz w:val="28"/>
          <w:szCs w:val="28"/>
        </w:rPr>
      </w:pPr>
      <w:r>
        <w:rPr>
          <w:rFonts w:hint="eastAsia"/>
          <w:sz w:val="28"/>
          <w:szCs w:val="28"/>
        </w:rPr>
        <w:t>矿山开采矿种为</w:t>
      </w:r>
      <w:r>
        <w:rPr>
          <w:rFonts w:hint="eastAsia"/>
          <w:sz w:val="28"/>
          <w:szCs w:val="24"/>
        </w:rPr>
        <w:t>建筑用</w:t>
      </w:r>
      <w:r>
        <w:rPr>
          <w:rFonts w:hint="eastAsia"/>
          <w:sz w:val="28"/>
          <w:szCs w:val="24"/>
          <w:lang w:val="en-US" w:eastAsia="zh-CN"/>
        </w:rPr>
        <w:t>砂</w:t>
      </w:r>
      <w:r>
        <w:rPr>
          <w:rFonts w:hint="eastAsia"/>
          <w:sz w:val="28"/>
          <w:szCs w:val="24"/>
        </w:rPr>
        <w:t>，其矿物成份简单，碎屑物以石英为主，部分为长石，少量硅质岩岩屑等，</w:t>
      </w:r>
      <w:r>
        <w:rPr>
          <w:rFonts w:hint="eastAsia"/>
          <w:sz w:val="28"/>
          <w:szCs w:val="28"/>
        </w:rPr>
        <w:t>矿石中无金属矿物，无其它有毒有害成份或放射性元素。</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sz w:val="28"/>
          <w:szCs w:val="28"/>
        </w:rPr>
      </w:pPr>
      <w:r>
        <w:rPr>
          <w:rFonts w:hint="eastAsia"/>
          <w:sz w:val="28"/>
          <w:szCs w:val="28"/>
        </w:rPr>
        <w:t>矿山生产水主要是露天采场内汇集的降雨，露天采场接受降水淋滤，根据矿石的化学成分分析，淋滤水不含有害物质，不会对地表水和地下水环境产生污染</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sz w:val="28"/>
          <w:szCs w:val="28"/>
        </w:rPr>
      </w:pPr>
      <w:r>
        <w:rPr>
          <w:rFonts w:hint="eastAsia"/>
          <w:sz w:val="28"/>
          <w:szCs w:val="28"/>
        </w:rPr>
        <w:t>采场</w:t>
      </w:r>
      <w:r>
        <w:rPr>
          <w:rFonts w:hint="eastAsia"/>
          <w:sz w:val="28"/>
          <w:szCs w:val="28"/>
          <w:lang w:val="en-US" w:eastAsia="zh-CN"/>
        </w:rPr>
        <w:t>和</w:t>
      </w:r>
      <w:r>
        <w:rPr>
          <w:rFonts w:hint="eastAsia"/>
          <w:sz w:val="28"/>
          <w:szCs w:val="28"/>
        </w:rPr>
        <w:t>铲装运输及矿石加工生产过程中会产生粉尘，若不采取降尘、抑尘和个人防护等安全措施，轻则影响从业人员的身体健康，重则导致尘肺病。</w:t>
      </w:r>
    </w:p>
    <w:p>
      <w:pPr>
        <w:pStyle w:val="4"/>
        <w:bidi w:val="0"/>
        <w:rPr>
          <w:rFonts w:hint="eastAsia"/>
        </w:rPr>
      </w:pPr>
      <w:bookmarkStart w:id="266" w:name="_Toc242849764"/>
      <w:bookmarkStart w:id="267" w:name="_Toc29113"/>
      <w:bookmarkStart w:id="268" w:name="_Toc10001"/>
      <w:bookmarkStart w:id="269" w:name="_Toc7214"/>
      <w:bookmarkStart w:id="270" w:name="_Toc21698"/>
      <w:bookmarkStart w:id="271" w:name="_Toc27679257"/>
      <w:bookmarkStart w:id="272" w:name="_Toc25483"/>
      <w:bookmarkStart w:id="273" w:name="_Toc27368"/>
      <w:bookmarkStart w:id="274" w:name="_Toc10234"/>
      <w:bookmarkStart w:id="275" w:name="_Toc11223"/>
      <w:bookmarkStart w:id="276" w:name="_Toc349113993"/>
      <w:bookmarkStart w:id="277" w:name="_Toc418847815"/>
      <w:bookmarkStart w:id="278" w:name="_Toc2944"/>
      <w:bookmarkStart w:id="279" w:name="_Toc115141876"/>
      <w:bookmarkStart w:id="280" w:name="_Toc7690"/>
      <w:bookmarkStart w:id="281" w:name="_Toc226963152"/>
      <w:bookmarkStart w:id="282" w:name="_Toc7850"/>
      <w:bookmarkStart w:id="283" w:name="_Toc65029556"/>
      <w:bookmarkStart w:id="284" w:name="_Toc115118949"/>
      <w:bookmarkStart w:id="285" w:name="_Toc65291066"/>
      <w:bookmarkStart w:id="286" w:name="_Toc115120247"/>
      <w:bookmarkStart w:id="287" w:name="_Toc115119137"/>
      <w:bookmarkStart w:id="288" w:name="_Toc115120641"/>
      <w:r>
        <w:rPr>
          <w:rFonts w:hint="eastAsia"/>
        </w:rPr>
        <w:t>3.</w:t>
      </w:r>
      <w:r>
        <w:rPr>
          <w:rFonts w:hint="eastAsia"/>
          <w:lang w:val="en-US" w:eastAsia="zh-CN"/>
        </w:rPr>
        <w:t>4</w:t>
      </w:r>
      <w:r>
        <w:rPr>
          <w:rFonts w:hint="eastAsia"/>
        </w:rPr>
        <w:t>重大危险源辨识</w:t>
      </w:r>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p>
    <w:p>
      <w:pPr>
        <w:pStyle w:val="5"/>
        <w:bidi w:val="0"/>
        <w:rPr>
          <w:rFonts w:hint="eastAsia"/>
        </w:rPr>
      </w:pPr>
      <w:bookmarkStart w:id="289" w:name="_Toc21284"/>
      <w:bookmarkStart w:id="290" w:name="_Toc27679258"/>
      <w:bookmarkStart w:id="291" w:name="_Toc327154025"/>
      <w:bookmarkStart w:id="292" w:name="_Toc28146"/>
      <w:bookmarkStart w:id="293" w:name="_Toc270936918"/>
      <w:bookmarkStart w:id="294" w:name="_Toc450291549"/>
      <w:bookmarkStart w:id="295" w:name="_Toc3914"/>
      <w:bookmarkStart w:id="296" w:name="_Toc18171"/>
      <w:bookmarkStart w:id="297" w:name="_Toc31376"/>
      <w:bookmarkStart w:id="298" w:name="_Toc120607120"/>
      <w:bookmarkStart w:id="299" w:name="_Toc8210"/>
      <w:bookmarkStart w:id="300" w:name="_Toc20482"/>
      <w:bookmarkStart w:id="301" w:name="_Toc224447156"/>
      <w:bookmarkStart w:id="302" w:name="_Toc423595190"/>
      <w:bookmarkStart w:id="303" w:name="_Toc10469"/>
      <w:bookmarkStart w:id="304" w:name="_Toc3456"/>
      <w:r>
        <w:rPr>
          <w:rFonts w:hint="eastAsia"/>
        </w:rPr>
        <w:t>3.</w:t>
      </w:r>
      <w:r>
        <w:rPr>
          <w:rFonts w:hint="eastAsia"/>
          <w:lang w:val="en-US" w:eastAsia="zh-CN"/>
        </w:rPr>
        <w:t>4</w:t>
      </w:r>
      <w:r>
        <w:rPr>
          <w:rFonts w:hint="eastAsia"/>
        </w:rPr>
        <w:t>.1方法介绍</w:t>
      </w:r>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GB"/>
        </w:rPr>
        <w:t>《危险化学品重大危险源辨识》（GB18218-2018）根据物质不同的特性，将危险物质分为爆炸品、易燃气体、毒性气体、易燃液体、易于自燃的物质、遇水放出易燃气体的物质、氧化性物质、有机过氧化物、毒性物质八大类，并且分别给出了物质的名称及其临界量。</w:t>
      </w:r>
      <w:r>
        <w:rPr>
          <w:rFonts w:hint="eastAsia" w:ascii="宋体" w:hAnsi="宋体" w:eastAsia="宋体" w:cs="宋体"/>
          <w:sz w:val="28"/>
          <w:szCs w:val="28"/>
        </w:rPr>
        <w:t>危险化学品重大危险源分为生产单元危险化学品重大危险源和储存单元危险化学品重大危险源。</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生产单元、储存单元内存在危险化学品的数量等于或超过危险物质规定的临界量，即被定为重大危险源。单元内存在危险化学品的数量根据危险化学品种类的多少区分为以下两种情况：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1、生产单元、储存单元内存在的危险化学品为单一品种，则该危险化学品的数量即为单元内危险化学品的总量，若等于或超过相应的临界量，则定为重大危险源。</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rPr>
        <w:t>2、生产单元、储存单元内存在的危险化学品为多品种时，则按下式计算，若满足下面公式，则定为重大危险源：</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sz w:val="28"/>
          <w:szCs w:val="28"/>
        </w:rPr>
      </w:pPr>
      <w:r>
        <w:rPr>
          <w:sz w:val="28"/>
          <w:szCs w:val="28"/>
        </w:rPr>
        <w:drawing>
          <wp:anchor distT="0" distB="0" distL="114300" distR="114300" simplePos="0" relativeHeight="251673600" behindDoc="0" locked="0" layoutInCell="1" allowOverlap="1">
            <wp:simplePos x="0" y="0"/>
            <wp:positionH relativeFrom="column">
              <wp:posOffset>353695</wp:posOffset>
            </wp:positionH>
            <wp:positionV relativeFrom="paragraph">
              <wp:posOffset>91440</wp:posOffset>
            </wp:positionV>
            <wp:extent cx="2132330" cy="445770"/>
            <wp:effectExtent l="0" t="0" r="0" b="12065"/>
            <wp:wrapTopAndBottom/>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26"/>
                    <a:stretch>
                      <a:fillRect/>
                    </a:stretch>
                  </pic:blipFill>
                  <pic:spPr>
                    <a:xfrm>
                      <a:off x="0" y="0"/>
                      <a:ext cx="2132330" cy="445770"/>
                    </a:xfrm>
                    <a:prstGeom prst="rect">
                      <a:avLst/>
                    </a:prstGeom>
                    <a:noFill/>
                    <a:ln>
                      <a:noFill/>
                    </a:ln>
                  </pic:spPr>
                </pic:pic>
              </a:graphicData>
            </a:graphic>
          </wp:anchor>
        </w:drawing>
      </w:r>
      <w:r>
        <w:rPr>
          <w:sz w:val="28"/>
          <w:szCs w:val="28"/>
        </w:rPr>
        <w:t>式中：q</w:t>
      </w:r>
      <w:r>
        <w:rPr>
          <w:sz w:val="28"/>
          <w:szCs w:val="28"/>
          <w:vertAlign w:val="subscript"/>
        </w:rPr>
        <w:t>1</w:t>
      </w:r>
      <w:r>
        <w:rPr>
          <w:sz w:val="28"/>
          <w:szCs w:val="28"/>
        </w:rPr>
        <w:t>，q</w:t>
      </w:r>
      <w:r>
        <w:rPr>
          <w:sz w:val="28"/>
          <w:szCs w:val="28"/>
          <w:vertAlign w:val="subscript"/>
        </w:rPr>
        <w:t>2</w:t>
      </w:r>
      <w:r>
        <w:rPr>
          <w:sz w:val="28"/>
          <w:szCs w:val="28"/>
        </w:rPr>
        <w:t xml:space="preserve"> …… q</w:t>
      </w:r>
      <w:r>
        <w:rPr>
          <w:sz w:val="28"/>
          <w:szCs w:val="28"/>
          <w:vertAlign w:val="subscript"/>
        </w:rPr>
        <w:t>n</w:t>
      </w:r>
      <w:r>
        <w:rPr>
          <w:sz w:val="28"/>
          <w:szCs w:val="28"/>
        </w:rPr>
        <w:t xml:space="preserve"> —每种危险化学品实际存在量，单位为（t）。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sz w:val="28"/>
          <w:szCs w:val="28"/>
        </w:rPr>
      </w:pPr>
      <w:r>
        <w:rPr>
          <w:sz w:val="28"/>
          <w:szCs w:val="28"/>
        </w:rPr>
        <w:t>Q</w:t>
      </w:r>
      <w:r>
        <w:rPr>
          <w:sz w:val="28"/>
          <w:szCs w:val="28"/>
          <w:vertAlign w:val="subscript"/>
        </w:rPr>
        <w:t>1</w:t>
      </w:r>
      <w:r>
        <w:rPr>
          <w:sz w:val="28"/>
          <w:szCs w:val="28"/>
        </w:rPr>
        <w:t>，Q</w:t>
      </w:r>
      <w:r>
        <w:rPr>
          <w:sz w:val="28"/>
          <w:szCs w:val="28"/>
          <w:vertAlign w:val="subscript"/>
        </w:rPr>
        <w:t>2</w:t>
      </w:r>
      <w:r>
        <w:rPr>
          <w:sz w:val="28"/>
          <w:szCs w:val="28"/>
        </w:rPr>
        <w:t>……Q</w:t>
      </w:r>
      <w:r>
        <w:rPr>
          <w:sz w:val="28"/>
          <w:szCs w:val="28"/>
          <w:vertAlign w:val="subscript"/>
        </w:rPr>
        <w:t>N</w:t>
      </w:r>
      <w:r>
        <w:rPr>
          <w:sz w:val="28"/>
          <w:szCs w:val="28"/>
        </w:rPr>
        <w:t>—与各危险化学品相对应的临界量，单位为（t）。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eastAsia"/>
          <w:sz w:val="28"/>
          <w:szCs w:val="28"/>
        </w:rPr>
      </w:pPr>
      <w:r>
        <w:rPr>
          <w:sz w:val="28"/>
          <w:szCs w:val="28"/>
          <w:lang w:val="en-GB"/>
        </w:rPr>
        <w:t>根据《危险化学品重大危险源辨识》（GB18218-2018）规定，项目涉及的危险化学品的临界量如下表</w:t>
      </w:r>
      <w:r>
        <w:rPr>
          <w:rFonts w:hint="eastAsia"/>
          <w:sz w:val="28"/>
          <w:szCs w:val="28"/>
        </w:rPr>
        <w:t>：</w:t>
      </w:r>
    </w:p>
    <w:p>
      <w:pPr>
        <w:keepNext w:val="0"/>
        <w:keepLines w:val="0"/>
        <w:pageBreakBefore w:val="0"/>
        <w:widowControl w:val="0"/>
        <w:tabs>
          <w:tab w:val="left" w:pos="3164"/>
        </w:tabs>
        <w:kinsoku/>
        <w:wordWrap/>
        <w:overflowPunct/>
        <w:topLinePunct w:val="0"/>
        <w:autoSpaceDE/>
        <w:autoSpaceDN/>
        <w:bidi w:val="0"/>
        <w:adjustRightInd/>
        <w:snapToGrid/>
        <w:spacing w:line="500" w:lineRule="exact"/>
        <w:jc w:val="center"/>
        <w:textAlignment w:val="auto"/>
        <w:rPr>
          <w:rFonts w:hint="eastAsia" w:ascii="宋体" w:hAnsi="宋体" w:eastAsia="宋体" w:cs="宋体"/>
        </w:rPr>
      </w:pPr>
      <w:r>
        <w:rPr>
          <w:rFonts w:hint="eastAsia" w:ascii="宋体" w:hAnsi="宋体" w:eastAsia="宋体" w:cs="宋体"/>
          <w:szCs w:val="21"/>
          <w:lang w:val="en-US" w:eastAsia="zh-CN"/>
        </w:rPr>
        <w:t xml:space="preserve">3-3 </w:t>
      </w:r>
      <w:r>
        <w:rPr>
          <w:rFonts w:hint="eastAsia" w:ascii="宋体" w:hAnsi="宋体" w:eastAsia="宋体" w:cs="宋体"/>
          <w:szCs w:val="21"/>
          <w:lang w:val="en-GB"/>
        </w:rPr>
        <w:t>危险化学品的临界量</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99"/>
        <w:gridCol w:w="1126"/>
        <w:gridCol w:w="3007"/>
        <w:gridCol w:w="1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3099" w:type="dxa"/>
            <w:noWrap w:val="0"/>
            <w:vAlign w:val="center"/>
          </w:tcPr>
          <w:p>
            <w:pPr>
              <w:pStyle w:val="31"/>
              <w:spacing w:before="0" w:beforeAutospacing="0" w:after="0" w:afterAutospacing="0" w:line="300" w:lineRule="exact"/>
              <w:jc w:val="center"/>
              <w:rPr>
                <w:rFonts w:ascii="Times New Roman" w:hAnsi="Times New Roman"/>
                <w:color w:val="000000"/>
                <w:spacing w:val="6"/>
                <w:sz w:val="21"/>
                <w:szCs w:val="21"/>
                <w:shd w:val="clear" w:color="auto" w:fill="FFFFFF"/>
              </w:rPr>
            </w:pPr>
            <w:r>
              <w:rPr>
                <w:rFonts w:ascii="Times New Roman" w:hAnsi="Times New Roman"/>
                <w:color w:val="000000"/>
                <w:spacing w:val="6"/>
                <w:sz w:val="21"/>
                <w:szCs w:val="21"/>
                <w:shd w:val="clear" w:color="auto" w:fill="FFFFFF"/>
              </w:rPr>
              <w:t>化学品品名</w:t>
            </w:r>
          </w:p>
        </w:tc>
        <w:tc>
          <w:tcPr>
            <w:tcW w:w="1126" w:type="dxa"/>
            <w:noWrap w:val="0"/>
            <w:vAlign w:val="center"/>
          </w:tcPr>
          <w:p>
            <w:pPr>
              <w:pStyle w:val="31"/>
              <w:spacing w:before="0" w:beforeAutospacing="0" w:after="0" w:afterAutospacing="0" w:line="300" w:lineRule="exact"/>
              <w:jc w:val="center"/>
              <w:rPr>
                <w:rFonts w:ascii="Times New Roman" w:hAnsi="Times New Roman"/>
                <w:color w:val="000000"/>
                <w:spacing w:val="6"/>
                <w:sz w:val="21"/>
                <w:szCs w:val="21"/>
                <w:shd w:val="clear" w:color="auto" w:fill="FFFFFF"/>
              </w:rPr>
            </w:pPr>
            <w:r>
              <w:rPr>
                <w:rFonts w:ascii="Times New Roman" w:hAnsi="Times New Roman"/>
                <w:color w:val="000000"/>
                <w:spacing w:val="6"/>
                <w:sz w:val="21"/>
                <w:szCs w:val="21"/>
                <w:shd w:val="clear" w:color="auto" w:fill="FFFFFF"/>
              </w:rPr>
              <w:t>类别</w:t>
            </w:r>
          </w:p>
        </w:tc>
        <w:tc>
          <w:tcPr>
            <w:tcW w:w="3007" w:type="dxa"/>
            <w:noWrap w:val="0"/>
            <w:vAlign w:val="center"/>
          </w:tcPr>
          <w:p>
            <w:pPr>
              <w:pStyle w:val="31"/>
              <w:spacing w:before="0" w:beforeAutospacing="0" w:after="0" w:afterAutospacing="0" w:line="300" w:lineRule="exact"/>
              <w:jc w:val="center"/>
              <w:rPr>
                <w:rFonts w:ascii="Times New Roman" w:hAnsi="Times New Roman"/>
                <w:color w:val="000000"/>
                <w:spacing w:val="6"/>
                <w:sz w:val="21"/>
                <w:szCs w:val="21"/>
                <w:shd w:val="clear" w:color="auto" w:fill="FFFFFF"/>
              </w:rPr>
            </w:pPr>
            <w:r>
              <w:rPr>
                <w:rFonts w:ascii="Times New Roman" w:hAnsi="Times New Roman"/>
                <w:color w:val="000000"/>
                <w:spacing w:val="6"/>
                <w:sz w:val="21"/>
                <w:szCs w:val="21"/>
                <w:shd w:val="clear" w:color="auto" w:fill="FFFFFF"/>
              </w:rPr>
              <w:t>危险性分类及说明</w:t>
            </w:r>
          </w:p>
        </w:tc>
        <w:tc>
          <w:tcPr>
            <w:tcW w:w="1703" w:type="dxa"/>
            <w:noWrap w:val="0"/>
            <w:vAlign w:val="center"/>
          </w:tcPr>
          <w:p>
            <w:pPr>
              <w:pStyle w:val="31"/>
              <w:spacing w:before="0" w:beforeAutospacing="0" w:after="0" w:afterAutospacing="0" w:line="300" w:lineRule="exact"/>
              <w:jc w:val="center"/>
              <w:rPr>
                <w:rFonts w:ascii="Times New Roman" w:hAnsi="Times New Roman"/>
                <w:color w:val="000000"/>
                <w:spacing w:val="6"/>
                <w:sz w:val="21"/>
                <w:szCs w:val="21"/>
                <w:shd w:val="clear" w:color="auto" w:fill="FFFFFF"/>
              </w:rPr>
            </w:pPr>
            <w:r>
              <w:rPr>
                <w:rFonts w:ascii="Times New Roman" w:hAnsi="Times New Roman"/>
                <w:color w:val="000000"/>
                <w:spacing w:val="6"/>
                <w:sz w:val="21"/>
                <w:szCs w:val="21"/>
                <w:shd w:val="clear" w:color="auto" w:fill="FFFFFF"/>
              </w:rPr>
              <w:t>临界量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3099" w:type="dxa"/>
            <w:noWrap w:val="0"/>
            <w:vAlign w:val="center"/>
          </w:tcPr>
          <w:p>
            <w:pPr>
              <w:pStyle w:val="31"/>
              <w:spacing w:before="0" w:beforeAutospacing="0" w:after="0" w:afterAutospacing="0" w:line="300" w:lineRule="exact"/>
              <w:jc w:val="center"/>
              <w:rPr>
                <w:rFonts w:ascii="Times New Roman" w:hAnsi="Times New Roman"/>
                <w:color w:val="000000"/>
                <w:spacing w:val="6"/>
                <w:sz w:val="21"/>
                <w:szCs w:val="21"/>
                <w:shd w:val="clear" w:color="auto" w:fill="FFFFFF"/>
              </w:rPr>
            </w:pPr>
            <w:r>
              <w:rPr>
                <w:rFonts w:ascii="Times New Roman" w:hAnsi="Times New Roman"/>
                <w:color w:val="000000"/>
                <w:sz w:val="21"/>
                <w:szCs w:val="21"/>
              </w:rPr>
              <w:t>柴油</w:t>
            </w:r>
          </w:p>
        </w:tc>
        <w:tc>
          <w:tcPr>
            <w:tcW w:w="1126" w:type="dxa"/>
            <w:noWrap w:val="0"/>
            <w:vAlign w:val="center"/>
          </w:tcPr>
          <w:p>
            <w:pPr>
              <w:pStyle w:val="31"/>
              <w:spacing w:before="0" w:beforeAutospacing="0" w:after="0" w:afterAutospacing="0" w:line="300" w:lineRule="exact"/>
              <w:jc w:val="center"/>
              <w:rPr>
                <w:rFonts w:ascii="Times New Roman" w:hAnsi="Times New Roman"/>
                <w:color w:val="000000"/>
                <w:spacing w:val="6"/>
                <w:sz w:val="21"/>
                <w:szCs w:val="21"/>
                <w:shd w:val="clear" w:color="auto" w:fill="FFFFFF"/>
              </w:rPr>
            </w:pPr>
            <w:r>
              <w:rPr>
                <w:rFonts w:hint="eastAsia" w:ascii="Times New Roman" w:hAnsi="Times New Roman"/>
                <w:color w:val="000000"/>
                <w:spacing w:val="6"/>
                <w:sz w:val="21"/>
                <w:szCs w:val="21"/>
                <w:shd w:val="clear" w:color="auto" w:fill="FFFFFF"/>
              </w:rPr>
              <w:t>可</w:t>
            </w:r>
            <w:r>
              <w:rPr>
                <w:rFonts w:ascii="Times New Roman" w:hAnsi="Times New Roman"/>
                <w:color w:val="000000"/>
                <w:spacing w:val="6"/>
                <w:sz w:val="21"/>
                <w:szCs w:val="21"/>
                <w:shd w:val="clear" w:color="auto" w:fill="FFFFFF"/>
              </w:rPr>
              <w:t>燃液体</w:t>
            </w:r>
          </w:p>
        </w:tc>
        <w:tc>
          <w:tcPr>
            <w:tcW w:w="3007" w:type="dxa"/>
            <w:noWrap w:val="0"/>
            <w:vAlign w:val="center"/>
          </w:tcPr>
          <w:p>
            <w:pPr>
              <w:pStyle w:val="31"/>
              <w:shd w:val="clear" w:color="auto" w:fill="FFFFFF"/>
              <w:spacing w:before="0" w:beforeAutospacing="0" w:after="0" w:afterAutospacing="0" w:line="300" w:lineRule="exact"/>
              <w:jc w:val="center"/>
              <w:rPr>
                <w:rFonts w:ascii="Times New Roman" w:hAnsi="Times New Roman"/>
                <w:color w:val="000000"/>
                <w:spacing w:val="6"/>
                <w:sz w:val="21"/>
                <w:szCs w:val="21"/>
                <w:shd w:val="clear" w:color="auto" w:fill="FFFFFF"/>
              </w:rPr>
            </w:pPr>
            <w:r>
              <w:rPr>
                <w:rFonts w:hint="eastAsia" w:ascii="Times New Roman" w:hAnsi="Times New Roman"/>
                <w:color w:val="000000"/>
                <w:spacing w:val="-8"/>
                <w:sz w:val="21"/>
                <w:szCs w:val="21"/>
                <w:shd w:val="clear" w:color="auto" w:fill="FFFFFF"/>
              </w:rPr>
              <w:t>丙类</w:t>
            </w:r>
            <w:r>
              <w:rPr>
                <w:rFonts w:ascii="Times New Roman" w:hAnsi="Times New Roman"/>
                <w:color w:val="000000"/>
                <w:spacing w:val="-8"/>
                <w:sz w:val="21"/>
                <w:szCs w:val="21"/>
                <w:shd w:val="clear" w:color="auto" w:fill="FFFFFF"/>
              </w:rPr>
              <w:t>易燃液体</w:t>
            </w:r>
          </w:p>
        </w:tc>
        <w:tc>
          <w:tcPr>
            <w:tcW w:w="1703" w:type="dxa"/>
            <w:noWrap w:val="0"/>
            <w:vAlign w:val="center"/>
          </w:tcPr>
          <w:p>
            <w:pPr>
              <w:pStyle w:val="31"/>
              <w:spacing w:before="0" w:beforeAutospacing="0" w:after="0" w:afterAutospacing="0" w:line="300" w:lineRule="exact"/>
              <w:jc w:val="center"/>
              <w:rPr>
                <w:rFonts w:ascii="Times New Roman" w:hAnsi="Times New Roman"/>
                <w:color w:val="000000"/>
                <w:spacing w:val="6"/>
                <w:sz w:val="21"/>
                <w:szCs w:val="21"/>
                <w:shd w:val="clear" w:color="auto" w:fill="FFFFFF"/>
              </w:rPr>
            </w:pPr>
            <w:r>
              <w:rPr>
                <w:rFonts w:ascii="Times New Roman" w:hAnsi="Times New Roman"/>
                <w:color w:val="000000"/>
                <w:spacing w:val="6"/>
                <w:sz w:val="21"/>
                <w:szCs w:val="21"/>
                <w:shd w:val="clear" w:color="auto" w:fill="FFFFFF"/>
              </w:rPr>
              <w:t>5000t</w:t>
            </w:r>
          </w:p>
        </w:tc>
      </w:tr>
    </w:tbl>
    <w:p>
      <w:pPr>
        <w:pStyle w:val="5"/>
        <w:bidi w:val="0"/>
        <w:rPr>
          <w:rFonts w:hint="eastAsia" w:ascii="黑体" w:hAnsi="黑体" w:eastAsia="黑体" w:cs="黑体"/>
          <w:b w:val="0"/>
          <w:bCs w:val="0"/>
          <w:kern w:val="0"/>
          <w:szCs w:val="28"/>
        </w:rPr>
      </w:pPr>
      <w:bookmarkStart w:id="305" w:name="_Toc8346"/>
      <w:bookmarkStart w:id="306" w:name="_Toc120607121"/>
      <w:bookmarkStart w:id="307" w:name="_Toc5936"/>
      <w:bookmarkStart w:id="308" w:name="_Toc65029557"/>
      <w:bookmarkStart w:id="309" w:name="_Toc10457"/>
      <w:bookmarkStart w:id="310" w:name="_Toc15790"/>
      <w:bookmarkStart w:id="311" w:name="_Toc65291067"/>
      <w:bookmarkStart w:id="312" w:name="_Toc32238"/>
      <w:bookmarkStart w:id="313" w:name="_Toc327154026"/>
      <w:bookmarkStart w:id="314" w:name="_Toc270936919"/>
      <w:bookmarkStart w:id="315" w:name="_Toc14465"/>
      <w:bookmarkStart w:id="316" w:name="_Toc27679259"/>
      <w:bookmarkStart w:id="317" w:name="_Toc5400"/>
      <w:bookmarkStart w:id="318" w:name="_Toc17446"/>
      <w:bookmarkStart w:id="319" w:name="_Toc224447157"/>
      <w:bookmarkStart w:id="320" w:name="_Toc423595191"/>
      <w:bookmarkStart w:id="321" w:name="_Toc18081"/>
      <w:bookmarkStart w:id="322" w:name="_Toc450291550"/>
      <w:bookmarkStart w:id="323" w:name="_Toc16074"/>
      <w:r>
        <w:rPr>
          <w:rFonts w:hint="eastAsia"/>
        </w:rPr>
        <w:t>3.</w:t>
      </w:r>
      <w:r>
        <w:rPr>
          <w:rFonts w:hint="eastAsia"/>
          <w:lang w:val="en-US" w:eastAsia="zh-CN"/>
        </w:rPr>
        <w:t>4</w:t>
      </w:r>
      <w:r>
        <w:rPr>
          <w:rFonts w:hint="eastAsia"/>
        </w:rPr>
        <w:t>.2重大危险源辨识</w:t>
      </w:r>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sz w:val="28"/>
          <w:szCs w:val="28"/>
          <w:lang w:val="en-GB"/>
        </w:rPr>
      </w:pPr>
      <w:bookmarkStart w:id="324" w:name="_Toc9016"/>
      <w:bookmarkStart w:id="325" w:name="_Toc732"/>
      <w:bookmarkStart w:id="326" w:name="_Toc450291551"/>
      <w:r>
        <w:rPr>
          <w:rFonts w:hint="eastAsia" w:ascii="宋体" w:hAnsi="宋体" w:eastAsia="宋体" w:cs="宋体"/>
          <w:color w:val="000000"/>
          <w:sz w:val="28"/>
          <w:szCs w:val="28"/>
          <w:lang w:val="en-GB"/>
        </w:rPr>
        <w:t>该矿山在生产过程中只涉及车辆（挖掘机、装载机）及机械设备使用的0#柴油，不进行生产、加工，属正常使用。场内未设置油库，矿山采矿设备从外部加油站进行加油，临用临取。根据《危险化学品重大危险源</w:t>
      </w:r>
      <w:r>
        <w:rPr>
          <w:rFonts w:hint="eastAsia" w:ascii="宋体" w:hAnsi="宋体" w:eastAsia="宋体" w:cs="宋体"/>
          <w:color w:val="000000"/>
          <w:sz w:val="28"/>
          <w:szCs w:val="28"/>
          <w:lang w:val="en-GB" w:eastAsia="zh-CN"/>
        </w:rPr>
        <w:t>辨识</w:t>
      </w:r>
      <w:r>
        <w:rPr>
          <w:rFonts w:hint="eastAsia" w:ascii="宋体" w:hAnsi="宋体" w:eastAsia="宋体" w:cs="宋体"/>
          <w:color w:val="000000"/>
          <w:sz w:val="28"/>
          <w:szCs w:val="28"/>
          <w:lang w:val="en-GB"/>
        </w:rPr>
        <w:t>》（GB18218-2018）中的重大危险源申报范围，对矿山进行重大危险源综合</w:t>
      </w:r>
      <w:r>
        <w:rPr>
          <w:rFonts w:hint="eastAsia" w:ascii="宋体" w:hAnsi="宋体" w:eastAsia="宋体" w:cs="宋体"/>
          <w:color w:val="000000"/>
          <w:sz w:val="28"/>
          <w:szCs w:val="28"/>
          <w:lang w:val="en-GB" w:eastAsia="zh-CN"/>
        </w:rPr>
        <w:t>辨识</w:t>
      </w:r>
      <w:r>
        <w:rPr>
          <w:rFonts w:hint="eastAsia" w:ascii="宋体" w:hAnsi="宋体" w:eastAsia="宋体" w:cs="宋体"/>
          <w:color w:val="000000"/>
          <w:sz w:val="28"/>
          <w:szCs w:val="28"/>
          <w:lang w:val="en-GB"/>
        </w:rPr>
        <w:t>后，确认牟定共和西山寺砂场不构成危险化学品重大危险源。</w:t>
      </w:r>
    </w:p>
    <w:bookmarkEnd w:id="283"/>
    <w:bookmarkEnd w:id="284"/>
    <w:bookmarkEnd w:id="285"/>
    <w:bookmarkEnd w:id="286"/>
    <w:bookmarkEnd w:id="287"/>
    <w:bookmarkEnd w:id="288"/>
    <w:bookmarkEnd w:id="324"/>
    <w:bookmarkEnd w:id="325"/>
    <w:bookmarkEnd w:id="326"/>
    <w:p>
      <w:pPr>
        <w:pStyle w:val="3"/>
        <w:spacing w:before="0" w:after="0" w:line="360" w:lineRule="auto"/>
        <w:jc w:val="center"/>
        <w:rPr>
          <w:rFonts w:eastAsia="黑体"/>
          <w:b w:val="0"/>
          <w:bCs w:val="0"/>
          <w:sz w:val="32"/>
          <w:szCs w:val="32"/>
        </w:rPr>
        <w:sectPr>
          <w:pgSz w:w="11906" w:h="16838"/>
          <w:pgMar w:top="1417" w:right="1134" w:bottom="1134" w:left="1588" w:header="964" w:footer="964" w:gutter="0"/>
          <w:pgBorders w:offsetFrom="page">
            <w:top w:val="none" w:sz="0" w:space="0"/>
            <w:left w:val="none" w:sz="0" w:space="0"/>
            <w:bottom w:val="none" w:sz="0" w:space="0"/>
            <w:right w:val="none" w:sz="0" w:space="0"/>
          </w:pgBorders>
          <w:pgNumType w:fmt="decimal"/>
          <w:cols w:space="720" w:num="1"/>
          <w:titlePg/>
          <w:docGrid w:type="lines" w:linePitch="326" w:charSpace="0"/>
        </w:sectPr>
      </w:pPr>
    </w:p>
    <w:p>
      <w:pPr>
        <w:pStyle w:val="3"/>
        <w:bidi w:val="0"/>
        <w:rPr>
          <w:rFonts w:hint="eastAsia" w:ascii="宋体" w:hAnsi="宋体" w:cs="Courier New"/>
          <w:color w:val="auto"/>
          <w:szCs w:val="32"/>
          <w:lang w:eastAsia="zh-CN" w:bidi="ar-SA"/>
        </w:rPr>
      </w:pPr>
      <w:bookmarkStart w:id="327" w:name="_Toc2232"/>
      <w:r>
        <w:rPr>
          <w:rFonts w:hint="eastAsia"/>
          <w:lang w:eastAsia="zh-CN"/>
        </w:rPr>
        <w:t>第4章</w:t>
      </w:r>
      <w:bookmarkEnd w:id="195"/>
      <w:r>
        <w:rPr>
          <w:rFonts w:hint="eastAsia"/>
          <w:lang w:val="en-US" w:eastAsia="zh-CN"/>
        </w:rPr>
        <w:t xml:space="preserve">  </w:t>
      </w:r>
      <w:r>
        <w:rPr>
          <w:rFonts w:hint="eastAsia"/>
          <w:lang w:eastAsia="zh-CN"/>
        </w:rPr>
        <w:t>定性定量评价</w:t>
      </w:r>
      <w:bookmarkEnd w:id="327"/>
    </w:p>
    <w:p>
      <w:pPr>
        <w:pStyle w:val="4"/>
        <w:bidi w:val="0"/>
        <w:rPr>
          <w:rFonts w:hint="eastAsia"/>
          <w:lang w:eastAsia="zh-CN"/>
        </w:rPr>
      </w:pPr>
      <w:bookmarkStart w:id="328" w:name="_Toc516749042"/>
      <w:bookmarkStart w:id="329" w:name="_Toc2387"/>
      <w:bookmarkStart w:id="330" w:name="_Toc19450"/>
      <w:bookmarkStart w:id="331" w:name="_Toc350324572"/>
      <w:bookmarkStart w:id="332" w:name="_Toc429073004"/>
      <w:bookmarkStart w:id="333" w:name="_Toc3734"/>
      <w:bookmarkStart w:id="334" w:name="_Toc9007"/>
      <w:bookmarkStart w:id="335" w:name="_Toc465112993"/>
      <w:bookmarkStart w:id="336" w:name="_Toc502865216"/>
      <w:bookmarkStart w:id="337" w:name="_Toc467792816"/>
      <w:r>
        <w:rPr>
          <w:rFonts w:hint="eastAsia"/>
          <w:lang w:eastAsia="zh-CN"/>
        </w:rPr>
        <w:t>4.1评价单元的划分和评价方法的选择</w:t>
      </w:r>
      <w:bookmarkEnd w:id="328"/>
      <w:bookmarkEnd w:id="329"/>
      <w:bookmarkEnd w:id="330"/>
    </w:p>
    <w:p>
      <w:pPr>
        <w:pStyle w:val="5"/>
        <w:bidi w:val="0"/>
        <w:rPr>
          <w:rFonts w:hint="eastAsia"/>
          <w:lang w:eastAsia="zh-CN"/>
        </w:rPr>
      </w:pPr>
      <w:bookmarkStart w:id="338" w:name="_Toc27407"/>
      <w:bookmarkStart w:id="339" w:name="_Toc102829710"/>
      <w:bookmarkStart w:id="340" w:name="_Toc12223"/>
      <w:r>
        <w:rPr>
          <w:rFonts w:hint="eastAsia"/>
          <w:lang w:eastAsia="zh-CN"/>
        </w:rPr>
        <w:t>4.1.1评价单元划分</w:t>
      </w:r>
      <w:bookmarkEnd w:id="331"/>
      <w:bookmarkEnd w:id="332"/>
      <w:bookmarkEnd w:id="338"/>
      <w:bookmarkEnd w:id="339"/>
      <w:bookmarkEnd w:id="340"/>
    </w:p>
    <w:p>
      <w:pPr>
        <w:pStyle w:val="6"/>
        <w:bidi w:val="0"/>
        <w:rPr>
          <w:rFonts w:hint="eastAsia"/>
          <w:lang w:eastAsia="zh-CN"/>
        </w:rPr>
      </w:pPr>
      <w:bookmarkStart w:id="341" w:name="_Toc30826"/>
      <w:bookmarkStart w:id="342" w:name="_Toc350324573"/>
      <w:bookmarkStart w:id="343" w:name="_Toc102829711"/>
      <w:bookmarkStart w:id="344" w:name="_Toc429073005"/>
      <w:bookmarkStart w:id="345" w:name="_Toc9358"/>
      <w:bookmarkStart w:id="346" w:name="_Toc24120"/>
      <w:r>
        <w:rPr>
          <w:rFonts w:hint="eastAsia"/>
          <w:lang w:eastAsia="zh-CN"/>
        </w:rPr>
        <w:t>4.1.1.1评价单元划分原则</w:t>
      </w:r>
      <w:bookmarkEnd w:id="341"/>
      <w:bookmarkEnd w:id="342"/>
      <w:bookmarkEnd w:id="343"/>
      <w:bookmarkEnd w:id="344"/>
      <w:bookmarkEnd w:id="345"/>
      <w:bookmarkEnd w:id="346"/>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评价单元划分要便于评价工作的进行，有利于提高评价工作的准确性。评价单元的划分，一般将生产工艺、工艺装置、物料的特点和特征与危险有害因素的类别、分布有机结合进行划分，还可以按评价的需要将一个评价单元再划分为若干子评价单元或更细致的单元。</w:t>
      </w:r>
    </w:p>
    <w:p>
      <w:pPr>
        <w:pStyle w:val="6"/>
        <w:bidi w:val="0"/>
        <w:rPr>
          <w:rFonts w:hint="eastAsia"/>
          <w:lang w:eastAsia="zh-CN"/>
        </w:rPr>
      </w:pPr>
      <w:bookmarkStart w:id="347" w:name="_Toc23209"/>
      <w:bookmarkStart w:id="348" w:name="_Toc21500"/>
      <w:bookmarkStart w:id="349" w:name="_Toc5867"/>
      <w:bookmarkStart w:id="350" w:name="_Toc504765771"/>
      <w:bookmarkStart w:id="351" w:name="_Toc102829712"/>
      <w:bookmarkStart w:id="352" w:name="_Toc167251265"/>
      <w:bookmarkStart w:id="353" w:name="_Toc167252043"/>
      <w:bookmarkStart w:id="354" w:name="_Toc122749771"/>
      <w:r>
        <w:rPr>
          <w:rFonts w:hint="eastAsia"/>
          <w:lang w:eastAsia="zh-CN"/>
        </w:rPr>
        <w:t>4.1.1.2本报告评价单元的确定</w:t>
      </w:r>
      <w:bookmarkEnd w:id="347"/>
      <w:bookmarkEnd w:id="348"/>
      <w:bookmarkEnd w:id="349"/>
      <w:bookmarkEnd w:id="350"/>
      <w:bookmarkEnd w:id="351"/>
    </w:p>
    <w:p>
      <w:pPr>
        <w:wordWrap/>
        <w:topLinePunct w:val="0"/>
        <w:bidi w:val="0"/>
        <w:spacing w:line="500" w:lineRule="exact"/>
        <w:ind w:firstLine="560" w:firstLineChars="200"/>
        <w:textAlignment w:val="auto"/>
        <w:outlineLvl w:val="9"/>
        <w:rPr>
          <w:rFonts w:hint="eastAsia" w:ascii="宋体" w:hAnsi="宋体" w:eastAsia="宋体" w:cs="Times New Roman"/>
          <w:b/>
          <w:bCs/>
          <w:color w:val="auto"/>
          <w:sz w:val="28"/>
          <w:szCs w:val="28"/>
        </w:rPr>
      </w:pPr>
      <w:r>
        <w:rPr>
          <w:rFonts w:hint="eastAsia" w:ascii="宋体" w:hAnsi="宋体" w:eastAsia="宋体" w:cs="Times New Roman"/>
          <w:b/>
          <w:bCs/>
          <w:color w:val="auto"/>
          <w:sz w:val="28"/>
          <w:szCs w:val="28"/>
        </w:rPr>
        <w:t>1、评价单元划分的分析过程</w:t>
      </w:r>
    </w:p>
    <w:bookmarkEnd w:id="352"/>
    <w:bookmarkEnd w:id="353"/>
    <w:bookmarkEnd w:id="354"/>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常用的评价单元划分方法有：</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（1）以危险、有害因素的类别为主划分评价单元。</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1）对工艺方案、总体布置及自然条件、环境对系统影响等综合方面的危险、有害因素的分析和评价，可将整个系统作为一个评价单元；</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2）将具有共性危险因素、有害因素的场所和装置划为一个单元。</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（2）以装置和物质特征划分评价单元。</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1）按装置工艺功能划分；</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2）按布置的相对独立性划分；</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3）按工艺条件划分评价单元；</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4）按贮存、处理危险物品的潜在化学性能、毒性和危险物品的数量划分评价单元；</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5）根据以往事故资料，将发生事故能导致停产、波及范围大、造成巨大损失和伤害的关键设备作为一个单元；</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6）将危险性大且资金密度大的区域作为一个评价单元；</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7）将危险性特别大的区域、装置作为一个评价单元；</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8）将具有类似危险性潜能的单元合并为一个大单元。</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根据上述方法，结合本项目的生产实际情况和危险、有害因素的诱因及可能存在的部位，进行评价单元的划分。</w:t>
      </w:r>
    </w:p>
    <w:p>
      <w:pPr>
        <w:wordWrap/>
        <w:topLinePunct w:val="0"/>
        <w:bidi w:val="0"/>
        <w:spacing w:line="500" w:lineRule="exact"/>
        <w:ind w:firstLine="560" w:firstLineChars="200"/>
        <w:textAlignment w:val="auto"/>
        <w:rPr>
          <w:rFonts w:hint="eastAsia" w:ascii="宋体" w:hAnsi="宋体" w:eastAsia="宋体" w:cs="Times New Roman"/>
          <w:b/>
          <w:bCs/>
          <w:color w:val="auto"/>
          <w:sz w:val="28"/>
          <w:szCs w:val="28"/>
        </w:rPr>
      </w:pPr>
      <w:r>
        <w:rPr>
          <w:rFonts w:hint="eastAsia" w:ascii="宋体" w:hAnsi="宋体" w:cs="Times New Roman"/>
          <w:b/>
          <w:bCs/>
          <w:color w:val="auto"/>
          <w:sz w:val="28"/>
          <w:szCs w:val="28"/>
          <w:lang w:val="en-US" w:eastAsia="zh-CN"/>
        </w:rPr>
        <w:t>2、</w:t>
      </w:r>
      <w:r>
        <w:rPr>
          <w:rFonts w:hint="eastAsia" w:ascii="宋体" w:hAnsi="宋体" w:eastAsia="宋体" w:cs="Times New Roman"/>
          <w:b/>
          <w:bCs/>
          <w:color w:val="auto"/>
          <w:sz w:val="28"/>
          <w:szCs w:val="28"/>
        </w:rPr>
        <w:t>评价单元的汇总表</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本报告根据该企业生产工艺过程中危险、有害因素的性质和重要危险、有害因素的分布等情况，见评价单元划分表4-1</w:t>
      </w:r>
    </w:p>
    <w:p>
      <w:pPr>
        <w:wordWrap/>
        <w:topLinePunct w:val="0"/>
        <w:autoSpaceDE w:val="0"/>
        <w:autoSpaceDN w:val="0"/>
        <w:bidi w:val="0"/>
        <w:adjustRightInd w:val="0"/>
        <w:spacing w:before="95" w:beforeLines="30" w:after="95" w:afterLines="30" w:line="500" w:lineRule="exact"/>
        <w:ind w:right="51"/>
        <w:jc w:val="center"/>
        <w:textAlignment w:val="auto"/>
        <w:rPr>
          <w:rFonts w:ascii="宋体" w:hAnsi="宋体"/>
          <w:b/>
          <w:color w:val="auto"/>
          <w:sz w:val="24"/>
        </w:rPr>
      </w:pPr>
      <w:r>
        <w:rPr>
          <w:rFonts w:ascii="宋体" w:hAnsi="宋体"/>
          <w:b/>
          <w:color w:val="auto"/>
          <w:sz w:val="24"/>
        </w:rPr>
        <w:t>表</w:t>
      </w:r>
      <w:r>
        <w:rPr>
          <w:rFonts w:hint="eastAsia" w:ascii="宋体" w:hAnsi="宋体"/>
          <w:b/>
          <w:color w:val="auto"/>
          <w:sz w:val="24"/>
        </w:rPr>
        <w:t>4</w:t>
      </w:r>
      <w:r>
        <w:rPr>
          <w:rFonts w:ascii="宋体" w:hAnsi="宋体"/>
          <w:b/>
          <w:color w:val="auto"/>
          <w:sz w:val="24"/>
        </w:rPr>
        <w:t>-1评价单元划分表</w:t>
      </w:r>
    </w:p>
    <w:tbl>
      <w:tblPr>
        <w:tblStyle w:val="35"/>
        <w:tblW w:w="4723" w:type="pct"/>
        <w:tblInd w:w="2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1"/>
        <w:gridCol w:w="3744"/>
        <w:gridCol w:w="941"/>
        <w:gridCol w:w="3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525" w:type="pct"/>
            <w:noWrap w:val="0"/>
            <w:vAlign w:val="center"/>
          </w:tcPr>
          <w:p>
            <w:pPr>
              <w:wordWrap/>
              <w:topLinePunct w:val="0"/>
              <w:bidi w:val="0"/>
              <w:spacing w:line="240" w:lineRule="auto"/>
              <w:jc w:val="center"/>
              <w:textAlignment w:val="auto"/>
              <w:rPr>
                <w:rFonts w:hint="eastAsia" w:ascii="宋体" w:hAnsi="宋体"/>
                <w:b/>
                <w:color w:val="auto"/>
                <w:szCs w:val="21"/>
              </w:rPr>
            </w:pPr>
            <w:r>
              <w:rPr>
                <w:rFonts w:hint="eastAsia" w:ascii="宋体" w:hAnsi="宋体"/>
                <w:b/>
                <w:color w:val="auto"/>
                <w:szCs w:val="21"/>
              </w:rPr>
              <w:t>序号</w:t>
            </w:r>
          </w:p>
        </w:tc>
        <w:tc>
          <w:tcPr>
            <w:tcW w:w="2133" w:type="pct"/>
            <w:noWrap w:val="0"/>
            <w:vAlign w:val="center"/>
          </w:tcPr>
          <w:p>
            <w:pPr>
              <w:wordWrap/>
              <w:topLinePunct w:val="0"/>
              <w:bidi w:val="0"/>
              <w:spacing w:line="240" w:lineRule="auto"/>
              <w:jc w:val="center"/>
              <w:textAlignment w:val="auto"/>
              <w:rPr>
                <w:rFonts w:ascii="宋体" w:hAnsi="宋体"/>
                <w:b/>
                <w:color w:val="auto"/>
                <w:szCs w:val="21"/>
              </w:rPr>
            </w:pPr>
            <w:r>
              <w:rPr>
                <w:rFonts w:ascii="宋体" w:hAnsi="宋体"/>
                <w:b/>
                <w:color w:val="auto"/>
                <w:szCs w:val="21"/>
              </w:rPr>
              <w:t>单元</w:t>
            </w:r>
          </w:p>
        </w:tc>
        <w:tc>
          <w:tcPr>
            <w:tcW w:w="2340" w:type="pct"/>
            <w:gridSpan w:val="2"/>
            <w:noWrap w:val="0"/>
            <w:vAlign w:val="center"/>
          </w:tcPr>
          <w:p>
            <w:pPr>
              <w:wordWrap/>
              <w:topLinePunct w:val="0"/>
              <w:bidi w:val="0"/>
              <w:spacing w:line="240" w:lineRule="auto"/>
              <w:jc w:val="center"/>
              <w:textAlignment w:val="auto"/>
              <w:rPr>
                <w:rFonts w:ascii="宋体" w:hAnsi="宋体"/>
                <w:b/>
                <w:color w:val="auto"/>
                <w:szCs w:val="21"/>
              </w:rPr>
            </w:pPr>
            <w:r>
              <w:rPr>
                <w:rFonts w:ascii="宋体" w:hAnsi="宋体"/>
                <w:b/>
                <w:color w:val="auto"/>
                <w:szCs w:val="21"/>
              </w:rPr>
              <w:t>子单元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25" w:type="pct"/>
            <w:noWrap w:val="0"/>
            <w:vAlign w:val="center"/>
          </w:tcPr>
          <w:p>
            <w:pPr>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1</w:t>
            </w:r>
          </w:p>
        </w:tc>
        <w:tc>
          <w:tcPr>
            <w:tcW w:w="2133" w:type="pct"/>
            <w:noWrap w:val="0"/>
            <w:vAlign w:val="center"/>
          </w:tcPr>
          <w:p>
            <w:pPr>
              <w:wordWrap/>
              <w:topLinePunct w:val="0"/>
              <w:bidi w:val="0"/>
              <w:spacing w:line="240" w:lineRule="auto"/>
              <w:jc w:val="center"/>
              <w:textAlignment w:val="auto"/>
              <w:rPr>
                <w:rFonts w:hint="eastAsia" w:ascii="宋体" w:hAnsi="宋体"/>
                <w:color w:val="auto"/>
                <w:szCs w:val="21"/>
              </w:rPr>
            </w:pPr>
            <w:r>
              <w:rPr>
                <w:rFonts w:ascii="宋体" w:hAnsi="宋体"/>
                <w:color w:val="auto"/>
                <w:szCs w:val="21"/>
              </w:rPr>
              <w:t>总平面布置</w:t>
            </w:r>
            <w:r>
              <w:rPr>
                <w:rFonts w:hint="eastAsia" w:ascii="宋体" w:hAnsi="宋体"/>
                <w:color w:val="auto"/>
                <w:szCs w:val="21"/>
              </w:rPr>
              <w:t>单元</w:t>
            </w:r>
          </w:p>
        </w:tc>
        <w:tc>
          <w:tcPr>
            <w:tcW w:w="536" w:type="pct"/>
            <w:noWrap w:val="0"/>
            <w:vAlign w:val="center"/>
          </w:tcPr>
          <w:p>
            <w:pPr>
              <w:wordWrap/>
              <w:topLinePunct w:val="0"/>
              <w:bidi w:val="0"/>
              <w:spacing w:line="240" w:lineRule="auto"/>
              <w:jc w:val="center"/>
              <w:textAlignment w:val="auto"/>
              <w:rPr>
                <w:rFonts w:hint="eastAsia" w:ascii="宋体" w:hAnsi="宋体"/>
                <w:color w:val="auto"/>
                <w:szCs w:val="21"/>
              </w:rPr>
            </w:pPr>
          </w:p>
        </w:tc>
        <w:tc>
          <w:tcPr>
            <w:tcW w:w="1804" w:type="pct"/>
            <w:noWrap w:val="0"/>
            <w:vAlign w:val="center"/>
          </w:tcPr>
          <w:p>
            <w:pPr>
              <w:wordWrap/>
              <w:topLinePunct w:val="0"/>
              <w:bidi w:val="0"/>
              <w:spacing w:line="240" w:lineRule="auto"/>
              <w:jc w:val="center"/>
              <w:textAlignment w:val="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525" w:type="pct"/>
            <w:noWrap w:val="0"/>
            <w:vAlign w:val="center"/>
          </w:tcPr>
          <w:p>
            <w:pPr>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2</w:t>
            </w:r>
          </w:p>
        </w:tc>
        <w:tc>
          <w:tcPr>
            <w:tcW w:w="2133" w:type="pct"/>
            <w:noWrap w:val="0"/>
            <w:vAlign w:val="center"/>
          </w:tcPr>
          <w:p>
            <w:pPr>
              <w:wordWrap/>
              <w:topLinePunct w:val="0"/>
              <w:bidi w:val="0"/>
              <w:spacing w:line="240" w:lineRule="auto"/>
              <w:jc w:val="center"/>
              <w:textAlignment w:val="auto"/>
              <w:rPr>
                <w:rFonts w:ascii="宋体" w:hAnsi="宋体"/>
                <w:color w:val="auto"/>
                <w:szCs w:val="21"/>
              </w:rPr>
            </w:pPr>
            <w:r>
              <w:rPr>
                <w:rFonts w:hint="eastAsia" w:ascii="宋体" w:hAnsi="宋体"/>
                <w:color w:val="auto"/>
                <w:szCs w:val="21"/>
              </w:rPr>
              <w:t>开拓运输</w:t>
            </w:r>
          </w:p>
        </w:tc>
        <w:tc>
          <w:tcPr>
            <w:tcW w:w="536" w:type="pct"/>
            <w:noWrap w:val="0"/>
            <w:vAlign w:val="center"/>
          </w:tcPr>
          <w:p>
            <w:pPr>
              <w:wordWrap/>
              <w:topLinePunct w:val="0"/>
              <w:bidi w:val="0"/>
              <w:spacing w:line="240" w:lineRule="auto"/>
              <w:jc w:val="center"/>
              <w:textAlignment w:val="auto"/>
              <w:rPr>
                <w:rFonts w:hint="eastAsia" w:ascii="宋体" w:hAnsi="宋体"/>
                <w:color w:val="auto"/>
                <w:szCs w:val="21"/>
              </w:rPr>
            </w:pPr>
          </w:p>
        </w:tc>
        <w:tc>
          <w:tcPr>
            <w:tcW w:w="1804" w:type="pct"/>
            <w:noWrap w:val="0"/>
            <w:vAlign w:val="center"/>
          </w:tcPr>
          <w:p>
            <w:pPr>
              <w:wordWrap/>
              <w:topLinePunct w:val="0"/>
              <w:bidi w:val="0"/>
              <w:spacing w:line="240" w:lineRule="auto"/>
              <w:jc w:val="center"/>
              <w:textAlignment w:val="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25" w:type="pct"/>
            <w:vMerge w:val="restart"/>
            <w:noWrap w:val="0"/>
            <w:vAlign w:val="center"/>
          </w:tcPr>
          <w:p>
            <w:pPr>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3</w:t>
            </w:r>
          </w:p>
        </w:tc>
        <w:tc>
          <w:tcPr>
            <w:tcW w:w="2133" w:type="pct"/>
            <w:vMerge w:val="restart"/>
            <w:noWrap w:val="0"/>
            <w:vAlign w:val="center"/>
          </w:tcPr>
          <w:p>
            <w:pPr>
              <w:wordWrap/>
              <w:topLinePunct w:val="0"/>
              <w:bidi w:val="0"/>
              <w:spacing w:line="240" w:lineRule="auto"/>
              <w:jc w:val="center"/>
              <w:textAlignment w:val="auto"/>
              <w:rPr>
                <w:rFonts w:ascii="宋体" w:hAnsi="宋体"/>
                <w:color w:val="auto"/>
                <w:szCs w:val="21"/>
              </w:rPr>
            </w:pPr>
            <w:r>
              <w:rPr>
                <w:rFonts w:hint="eastAsia" w:ascii="宋体" w:hAnsi="宋体"/>
                <w:color w:val="auto"/>
                <w:szCs w:val="21"/>
              </w:rPr>
              <w:t>采剥单元</w:t>
            </w:r>
          </w:p>
        </w:tc>
        <w:tc>
          <w:tcPr>
            <w:tcW w:w="536" w:type="pct"/>
            <w:noWrap w:val="0"/>
            <w:vAlign w:val="center"/>
          </w:tcPr>
          <w:p>
            <w:pPr>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（1）</w:t>
            </w:r>
          </w:p>
        </w:tc>
        <w:tc>
          <w:tcPr>
            <w:tcW w:w="1804" w:type="pct"/>
            <w:noWrap w:val="0"/>
            <w:vAlign w:val="center"/>
          </w:tcPr>
          <w:p>
            <w:pPr>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露天采场子单元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525" w:type="pct"/>
            <w:vMerge w:val="continue"/>
            <w:noWrap w:val="0"/>
            <w:vAlign w:val="center"/>
          </w:tcPr>
          <w:p>
            <w:pPr>
              <w:wordWrap/>
              <w:topLinePunct w:val="0"/>
              <w:bidi w:val="0"/>
              <w:spacing w:line="240" w:lineRule="auto"/>
              <w:jc w:val="center"/>
              <w:textAlignment w:val="auto"/>
              <w:rPr>
                <w:rFonts w:hint="eastAsia" w:ascii="宋体" w:hAnsi="宋体"/>
                <w:color w:val="auto"/>
                <w:szCs w:val="21"/>
              </w:rPr>
            </w:pPr>
          </w:p>
        </w:tc>
        <w:tc>
          <w:tcPr>
            <w:tcW w:w="2133" w:type="pct"/>
            <w:vMerge w:val="continue"/>
            <w:noWrap w:val="0"/>
            <w:vAlign w:val="center"/>
          </w:tcPr>
          <w:p>
            <w:pPr>
              <w:wordWrap/>
              <w:topLinePunct w:val="0"/>
              <w:bidi w:val="0"/>
              <w:spacing w:line="240" w:lineRule="auto"/>
              <w:jc w:val="center"/>
              <w:textAlignment w:val="auto"/>
              <w:rPr>
                <w:rFonts w:ascii="宋体" w:hAnsi="宋体"/>
                <w:color w:val="auto"/>
                <w:szCs w:val="21"/>
              </w:rPr>
            </w:pPr>
          </w:p>
        </w:tc>
        <w:tc>
          <w:tcPr>
            <w:tcW w:w="536" w:type="pct"/>
            <w:noWrap w:val="0"/>
            <w:vAlign w:val="center"/>
          </w:tcPr>
          <w:p>
            <w:pPr>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w:t>
            </w:r>
            <w:r>
              <w:rPr>
                <w:rFonts w:hint="eastAsia" w:ascii="宋体" w:hAnsi="宋体"/>
                <w:color w:val="auto"/>
                <w:szCs w:val="21"/>
                <w:lang w:val="en-US" w:eastAsia="zh-CN"/>
              </w:rPr>
              <w:t>2</w:t>
            </w:r>
            <w:r>
              <w:rPr>
                <w:rFonts w:hint="eastAsia" w:ascii="宋体" w:hAnsi="宋体"/>
                <w:color w:val="auto"/>
                <w:szCs w:val="21"/>
              </w:rPr>
              <w:t>）</w:t>
            </w:r>
          </w:p>
        </w:tc>
        <w:tc>
          <w:tcPr>
            <w:tcW w:w="1804" w:type="pct"/>
            <w:noWrap w:val="0"/>
            <w:vAlign w:val="center"/>
          </w:tcPr>
          <w:p>
            <w:pPr>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铲装作业子</w:t>
            </w:r>
            <w:r>
              <w:rPr>
                <w:rFonts w:ascii="宋体" w:hAnsi="宋体"/>
                <w:color w:val="auto"/>
                <w:szCs w:val="21"/>
              </w:rPr>
              <w:t>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525" w:type="pct"/>
            <w:noWrap w:val="0"/>
            <w:vAlign w:val="center"/>
          </w:tcPr>
          <w:p>
            <w:pPr>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4</w:t>
            </w:r>
          </w:p>
        </w:tc>
        <w:tc>
          <w:tcPr>
            <w:tcW w:w="2133" w:type="pct"/>
            <w:noWrap w:val="0"/>
            <w:vAlign w:val="center"/>
          </w:tcPr>
          <w:p>
            <w:pPr>
              <w:wordWrap/>
              <w:topLinePunct w:val="0"/>
              <w:bidi w:val="0"/>
              <w:spacing w:line="240" w:lineRule="auto"/>
              <w:jc w:val="center"/>
              <w:textAlignment w:val="auto"/>
              <w:rPr>
                <w:rFonts w:ascii="宋体" w:hAnsi="宋体"/>
                <w:color w:val="auto"/>
                <w:szCs w:val="21"/>
              </w:rPr>
            </w:pPr>
            <w:r>
              <w:rPr>
                <w:rFonts w:hint="eastAsia" w:ascii="宋体" w:hAnsi="宋体"/>
                <w:color w:val="auto"/>
                <w:szCs w:val="21"/>
              </w:rPr>
              <w:t>采场排防水系统单元</w:t>
            </w:r>
          </w:p>
        </w:tc>
        <w:tc>
          <w:tcPr>
            <w:tcW w:w="536" w:type="pct"/>
            <w:noWrap w:val="0"/>
            <w:vAlign w:val="center"/>
          </w:tcPr>
          <w:p>
            <w:pPr>
              <w:wordWrap/>
              <w:topLinePunct w:val="0"/>
              <w:bidi w:val="0"/>
              <w:spacing w:line="240" w:lineRule="auto"/>
              <w:jc w:val="center"/>
              <w:textAlignment w:val="auto"/>
              <w:rPr>
                <w:rFonts w:hint="eastAsia" w:ascii="宋体" w:hAnsi="宋体"/>
                <w:color w:val="auto"/>
                <w:szCs w:val="21"/>
              </w:rPr>
            </w:pPr>
          </w:p>
        </w:tc>
        <w:tc>
          <w:tcPr>
            <w:tcW w:w="1804" w:type="pct"/>
            <w:noWrap w:val="0"/>
            <w:vAlign w:val="center"/>
          </w:tcPr>
          <w:p>
            <w:pPr>
              <w:wordWrap/>
              <w:topLinePunct w:val="0"/>
              <w:bidi w:val="0"/>
              <w:spacing w:line="240" w:lineRule="auto"/>
              <w:jc w:val="center"/>
              <w:textAlignment w:val="auto"/>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525" w:type="pct"/>
            <w:noWrap w:val="0"/>
            <w:vAlign w:val="center"/>
          </w:tcPr>
          <w:p>
            <w:pPr>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5</w:t>
            </w:r>
          </w:p>
        </w:tc>
        <w:tc>
          <w:tcPr>
            <w:tcW w:w="2133" w:type="pct"/>
            <w:noWrap w:val="0"/>
            <w:vAlign w:val="center"/>
          </w:tcPr>
          <w:p>
            <w:pPr>
              <w:wordWrap/>
              <w:topLinePunct w:val="0"/>
              <w:bidi w:val="0"/>
              <w:spacing w:line="240" w:lineRule="auto"/>
              <w:jc w:val="center"/>
              <w:textAlignment w:val="auto"/>
              <w:rPr>
                <w:rFonts w:ascii="宋体" w:hAnsi="宋体"/>
                <w:color w:val="auto"/>
                <w:szCs w:val="21"/>
              </w:rPr>
            </w:pPr>
            <w:r>
              <w:rPr>
                <w:rFonts w:hint="eastAsia" w:ascii="宋体" w:hAnsi="宋体"/>
                <w:color w:val="auto"/>
                <w:szCs w:val="21"/>
              </w:rPr>
              <w:t>供配电设施单元</w:t>
            </w:r>
          </w:p>
        </w:tc>
        <w:tc>
          <w:tcPr>
            <w:tcW w:w="536" w:type="pct"/>
            <w:noWrap w:val="0"/>
            <w:vAlign w:val="center"/>
          </w:tcPr>
          <w:p>
            <w:pPr>
              <w:wordWrap/>
              <w:topLinePunct w:val="0"/>
              <w:bidi w:val="0"/>
              <w:spacing w:line="240" w:lineRule="auto"/>
              <w:jc w:val="center"/>
              <w:textAlignment w:val="auto"/>
              <w:rPr>
                <w:rFonts w:hint="eastAsia" w:ascii="宋体" w:hAnsi="宋体"/>
                <w:color w:val="auto"/>
                <w:szCs w:val="21"/>
              </w:rPr>
            </w:pPr>
          </w:p>
        </w:tc>
        <w:tc>
          <w:tcPr>
            <w:tcW w:w="1804" w:type="pct"/>
            <w:noWrap w:val="0"/>
            <w:vAlign w:val="center"/>
          </w:tcPr>
          <w:p>
            <w:pPr>
              <w:wordWrap/>
              <w:topLinePunct w:val="0"/>
              <w:bidi w:val="0"/>
              <w:spacing w:line="240" w:lineRule="auto"/>
              <w:jc w:val="center"/>
              <w:textAlignment w:val="auto"/>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525" w:type="pct"/>
            <w:noWrap w:val="0"/>
            <w:vAlign w:val="center"/>
          </w:tcPr>
          <w:p>
            <w:pPr>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6</w:t>
            </w:r>
          </w:p>
        </w:tc>
        <w:tc>
          <w:tcPr>
            <w:tcW w:w="2133" w:type="pct"/>
            <w:noWrap w:val="0"/>
            <w:vAlign w:val="center"/>
          </w:tcPr>
          <w:p>
            <w:pPr>
              <w:wordWrap/>
              <w:topLinePunct w:val="0"/>
              <w:bidi w:val="0"/>
              <w:spacing w:line="240" w:lineRule="auto"/>
              <w:jc w:val="center"/>
              <w:textAlignment w:val="auto"/>
              <w:rPr>
                <w:rFonts w:ascii="宋体" w:hAnsi="宋体"/>
                <w:color w:val="auto"/>
                <w:szCs w:val="21"/>
              </w:rPr>
            </w:pPr>
            <w:r>
              <w:rPr>
                <w:rFonts w:hint="eastAsia" w:ascii="宋体" w:hAnsi="宋体"/>
                <w:color w:val="auto"/>
                <w:szCs w:val="21"/>
              </w:rPr>
              <w:t>个人安全防护单元</w:t>
            </w:r>
          </w:p>
        </w:tc>
        <w:tc>
          <w:tcPr>
            <w:tcW w:w="536" w:type="pct"/>
            <w:noWrap w:val="0"/>
            <w:vAlign w:val="center"/>
          </w:tcPr>
          <w:p>
            <w:pPr>
              <w:wordWrap/>
              <w:topLinePunct w:val="0"/>
              <w:bidi w:val="0"/>
              <w:spacing w:line="240" w:lineRule="auto"/>
              <w:jc w:val="center"/>
              <w:textAlignment w:val="auto"/>
              <w:rPr>
                <w:rFonts w:hint="eastAsia" w:ascii="宋体" w:hAnsi="宋体"/>
                <w:color w:val="auto"/>
                <w:szCs w:val="21"/>
              </w:rPr>
            </w:pPr>
          </w:p>
        </w:tc>
        <w:tc>
          <w:tcPr>
            <w:tcW w:w="1804" w:type="pct"/>
            <w:noWrap w:val="0"/>
            <w:vAlign w:val="center"/>
          </w:tcPr>
          <w:p>
            <w:pPr>
              <w:wordWrap/>
              <w:topLinePunct w:val="0"/>
              <w:bidi w:val="0"/>
              <w:spacing w:line="240" w:lineRule="auto"/>
              <w:jc w:val="center"/>
              <w:textAlignment w:val="auto"/>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525" w:type="pct"/>
            <w:noWrap w:val="0"/>
            <w:vAlign w:val="center"/>
          </w:tcPr>
          <w:p>
            <w:pPr>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7</w:t>
            </w:r>
          </w:p>
        </w:tc>
        <w:tc>
          <w:tcPr>
            <w:tcW w:w="2133" w:type="pct"/>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安全</w:t>
            </w:r>
            <w:r>
              <w:rPr>
                <w:rFonts w:hint="eastAsia" w:ascii="宋体" w:hAnsi="宋体"/>
                <w:color w:val="auto"/>
                <w:szCs w:val="21"/>
              </w:rPr>
              <w:t>标志单元</w:t>
            </w:r>
          </w:p>
        </w:tc>
        <w:tc>
          <w:tcPr>
            <w:tcW w:w="536" w:type="pct"/>
            <w:noWrap w:val="0"/>
            <w:vAlign w:val="center"/>
          </w:tcPr>
          <w:p>
            <w:pPr>
              <w:wordWrap/>
              <w:topLinePunct w:val="0"/>
              <w:bidi w:val="0"/>
              <w:spacing w:line="240" w:lineRule="auto"/>
              <w:jc w:val="center"/>
              <w:textAlignment w:val="auto"/>
              <w:rPr>
                <w:rFonts w:ascii="宋体" w:hAnsi="宋体"/>
                <w:color w:val="auto"/>
                <w:szCs w:val="21"/>
              </w:rPr>
            </w:pPr>
          </w:p>
        </w:tc>
        <w:tc>
          <w:tcPr>
            <w:tcW w:w="1804" w:type="pct"/>
            <w:noWrap w:val="0"/>
            <w:vAlign w:val="center"/>
          </w:tcPr>
          <w:p>
            <w:pPr>
              <w:wordWrap/>
              <w:topLinePunct w:val="0"/>
              <w:bidi w:val="0"/>
              <w:spacing w:line="240" w:lineRule="auto"/>
              <w:jc w:val="center"/>
              <w:textAlignment w:val="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525" w:type="pct"/>
            <w:noWrap w:val="0"/>
            <w:vAlign w:val="center"/>
          </w:tcPr>
          <w:p>
            <w:pPr>
              <w:wordWrap/>
              <w:topLinePunct w:val="0"/>
              <w:bidi w:val="0"/>
              <w:spacing w:line="240" w:lineRule="auto"/>
              <w:jc w:val="center"/>
              <w:textAlignment w:val="auto"/>
              <w:rPr>
                <w:rFonts w:hint="eastAsia" w:ascii="宋体" w:hAnsi="宋体" w:eastAsia="宋体"/>
                <w:color w:val="auto"/>
                <w:szCs w:val="21"/>
                <w:lang w:eastAsia="zh-CN"/>
              </w:rPr>
            </w:pPr>
            <w:bookmarkStart w:id="355" w:name="_Toc504765772"/>
            <w:r>
              <w:rPr>
                <w:rFonts w:hint="eastAsia" w:ascii="宋体" w:hAnsi="宋体"/>
                <w:color w:val="auto"/>
                <w:szCs w:val="21"/>
                <w:lang w:val="en-US" w:eastAsia="zh-CN"/>
              </w:rPr>
              <w:t>8</w:t>
            </w:r>
          </w:p>
        </w:tc>
        <w:tc>
          <w:tcPr>
            <w:tcW w:w="2133" w:type="pct"/>
            <w:noWrap w:val="0"/>
            <w:vAlign w:val="center"/>
          </w:tcPr>
          <w:p>
            <w:pPr>
              <w:wordWrap/>
              <w:topLinePunct w:val="0"/>
              <w:bidi w:val="0"/>
              <w:spacing w:line="240" w:lineRule="auto"/>
              <w:jc w:val="center"/>
              <w:textAlignment w:val="auto"/>
              <w:rPr>
                <w:rFonts w:ascii="宋体" w:hAnsi="宋体"/>
                <w:color w:val="auto"/>
                <w:szCs w:val="21"/>
              </w:rPr>
            </w:pPr>
            <w:r>
              <w:rPr>
                <w:rFonts w:hint="eastAsia" w:ascii="宋体" w:hAnsi="宋体"/>
                <w:color w:val="auto"/>
                <w:szCs w:val="21"/>
              </w:rPr>
              <w:t>安全管理单元</w:t>
            </w:r>
          </w:p>
        </w:tc>
        <w:tc>
          <w:tcPr>
            <w:tcW w:w="536" w:type="pct"/>
            <w:noWrap w:val="0"/>
            <w:vAlign w:val="center"/>
          </w:tcPr>
          <w:p>
            <w:pPr>
              <w:wordWrap/>
              <w:topLinePunct w:val="0"/>
              <w:bidi w:val="0"/>
              <w:spacing w:line="240" w:lineRule="auto"/>
              <w:jc w:val="center"/>
              <w:textAlignment w:val="auto"/>
              <w:rPr>
                <w:rFonts w:ascii="宋体" w:hAnsi="宋体"/>
                <w:color w:val="auto"/>
                <w:szCs w:val="21"/>
              </w:rPr>
            </w:pPr>
          </w:p>
        </w:tc>
        <w:tc>
          <w:tcPr>
            <w:tcW w:w="1804" w:type="pct"/>
            <w:noWrap w:val="0"/>
            <w:vAlign w:val="center"/>
          </w:tcPr>
          <w:p>
            <w:pPr>
              <w:wordWrap/>
              <w:topLinePunct w:val="0"/>
              <w:bidi w:val="0"/>
              <w:spacing w:line="240" w:lineRule="auto"/>
              <w:jc w:val="center"/>
              <w:textAlignment w:val="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525" w:type="pct"/>
            <w:noWrap w:val="0"/>
            <w:vAlign w:val="center"/>
          </w:tcPr>
          <w:p>
            <w:pPr>
              <w:wordWrap/>
              <w:topLinePunct w:val="0"/>
              <w:bidi w:val="0"/>
              <w:spacing w:line="240" w:lineRule="auto"/>
              <w:jc w:val="center"/>
              <w:textAlignment w:val="auto"/>
              <w:rPr>
                <w:rFonts w:hint="eastAsia" w:ascii="宋体" w:hAnsi="宋体" w:eastAsia="宋体"/>
                <w:color w:val="auto"/>
                <w:szCs w:val="21"/>
                <w:lang w:eastAsia="zh-CN"/>
              </w:rPr>
            </w:pPr>
            <w:r>
              <w:rPr>
                <w:rFonts w:hint="eastAsia" w:ascii="宋体" w:hAnsi="宋体"/>
                <w:color w:val="auto"/>
                <w:szCs w:val="21"/>
                <w:lang w:val="en-US" w:eastAsia="zh-CN"/>
              </w:rPr>
              <w:t>9</w:t>
            </w:r>
          </w:p>
        </w:tc>
        <w:tc>
          <w:tcPr>
            <w:tcW w:w="2133" w:type="pct"/>
            <w:noWrap w:val="0"/>
            <w:vAlign w:val="center"/>
          </w:tcPr>
          <w:p>
            <w:pPr>
              <w:wordWrap/>
              <w:topLinePunct w:val="0"/>
              <w:bidi w:val="0"/>
              <w:spacing w:line="240" w:lineRule="auto"/>
              <w:jc w:val="center"/>
              <w:textAlignment w:val="auto"/>
              <w:rPr>
                <w:rFonts w:ascii="宋体" w:hAnsi="宋体"/>
                <w:color w:val="auto"/>
                <w:szCs w:val="21"/>
              </w:rPr>
            </w:pPr>
            <w:r>
              <w:rPr>
                <w:rFonts w:hint="eastAsia" w:ascii="宋体" w:hAnsi="宋体"/>
                <w:color w:val="auto"/>
                <w:szCs w:val="21"/>
              </w:rPr>
              <w:t>重大生产安全事故隐患判定单元</w:t>
            </w:r>
          </w:p>
        </w:tc>
        <w:tc>
          <w:tcPr>
            <w:tcW w:w="536" w:type="pct"/>
            <w:noWrap w:val="0"/>
            <w:vAlign w:val="center"/>
          </w:tcPr>
          <w:p>
            <w:pPr>
              <w:wordWrap/>
              <w:topLinePunct w:val="0"/>
              <w:bidi w:val="0"/>
              <w:spacing w:line="240" w:lineRule="auto"/>
              <w:jc w:val="center"/>
              <w:textAlignment w:val="auto"/>
              <w:rPr>
                <w:rFonts w:ascii="宋体" w:hAnsi="宋体"/>
                <w:color w:val="auto"/>
                <w:szCs w:val="21"/>
              </w:rPr>
            </w:pPr>
          </w:p>
        </w:tc>
        <w:tc>
          <w:tcPr>
            <w:tcW w:w="1804" w:type="pct"/>
            <w:noWrap w:val="0"/>
            <w:vAlign w:val="center"/>
          </w:tcPr>
          <w:p>
            <w:pPr>
              <w:wordWrap/>
              <w:topLinePunct w:val="0"/>
              <w:bidi w:val="0"/>
              <w:spacing w:line="240" w:lineRule="auto"/>
              <w:jc w:val="center"/>
              <w:textAlignment w:val="auto"/>
              <w:rPr>
                <w:rFonts w:ascii="宋体" w:hAnsi="宋体"/>
                <w:color w:val="auto"/>
                <w:szCs w:val="21"/>
              </w:rPr>
            </w:pPr>
          </w:p>
        </w:tc>
      </w:tr>
      <w:bookmarkEnd w:id="355"/>
    </w:tbl>
    <w:p>
      <w:pPr>
        <w:pStyle w:val="5"/>
        <w:bidi w:val="0"/>
        <w:rPr>
          <w:rFonts w:hint="eastAsia"/>
          <w:lang w:eastAsia="zh-CN"/>
        </w:rPr>
      </w:pPr>
      <w:bookmarkStart w:id="356" w:name="_Toc102829713"/>
      <w:bookmarkStart w:id="357" w:name="_Toc29302"/>
      <w:bookmarkStart w:id="358" w:name="_Toc2497"/>
      <w:bookmarkStart w:id="359" w:name="_Toc23137"/>
      <w:bookmarkStart w:id="360" w:name="_Toc504765776"/>
      <w:r>
        <w:rPr>
          <w:rFonts w:hint="eastAsia"/>
          <w:lang w:eastAsia="zh-CN"/>
        </w:rPr>
        <w:t>4.1.2评价方法的选择</w:t>
      </w:r>
      <w:bookmarkEnd w:id="356"/>
      <w:bookmarkEnd w:id="357"/>
      <w:bookmarkEnd w:id="358"/>
      <w:r>
        <w:rPr>
          <w:rFonts w:hint="eastAsia"/>
          <w:lang w:eastAsia="zh-CN"/>
        </w:rPr>
        <w:tab/>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安全评价方法是对系统的各种、有害因素进行分析、评价的工具。目前已经开发数十种，每一种评价方法的原理、目标、应用条件、适用对象不尽相同，各有其特点和优缺点。</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针对本项目中各评价单元的功能、工艺及主要危险有害因素的特点，本次评价采用的评价方法为安全检查表法。</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通过对项目潜在危险和有害因素的初步分析，结合本次评价目的和评价范围，进一步运用有关评价方法进行系统安全评价，找出主要灾害事故被触发的原因，系统地了解各危险源危险状况信息。根据国家安监总局编制的《安全评价》（煤炭工业出版社）推荐的评价方法，以及各种评价方法适用的范围和阶段，选择“安全检查表”方法评价较为合适本次现状评价。</w:t>
      </w:r>
    </w:p>
    <w:p>
      <w:pPr>
        <w:pStyle w:val="6"/>
        <w:bidi w:val="0"/>
        <w:rPr>
          <w:rFonts w:hint="eastAsia"/>
          <w:lang w:eastAsia="zh-CN"/>
        </w:rPr>
      </w:pPr>
      <w:bookmarkStart w:id="361" w:name="_Toc11089"/>
      <w:bookmarkStart w:id="362" w:name="_Toc16935"/>
      <w:bookmarkStart w:id="363" w:name="_Toc102829714"/>
      <w:r>
        <w:rPr>
          <w:rFonts w:hint="eastAsia"/>
          <w:lang w:eastAsia="zh-CN"/>
        </w:rPr>
        <w:t>4.1.2.1安全检查表法（SCL）</w:t>
      </w:r>
      <w:bookmarkEnd w:id="359"/>
      <w:bookmarkEnd w:id="360"/>
      <w:bookmarkEnd w:id="361"/>
      <w:bookmarkEnd w:id="362"/>
      <w:bookmarkEnd w:id="363"/>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安全检查表分析（SafetyCheckListAnalysis）是将一系列分析项目列出检查表进行分析以确定系统的状态，这些项目包括设备、贮运、操作、管理等各个方面。传统的安全检查表分析方法是分析人员列出一些危险项目，识别与一般工艺设备和操作有关的已知类型的危险、设计缺陷以及事故隐患，其所列项目的差别很大，而且通常用于检查各种规范和标准的执行情况。安全检查表分析的弹性很大，既可用于简单的快速分析，也可用于更深层次的分析，它是识别已知危险的有效方法。</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安全检查表分析包括三个步骤：</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①选择或拟定合适的安全检查表；</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②完成分析；</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③编制分析结果文件。</w:t>
      </w:r>
    </w:p>
    <w:p>
      <w:pPr>
        <w:pStyle w:val="5"/>
        <w:bidi w:val="0"/>
        <w:rPr>
          <w:rFonts w:hint="eastAsia" w:ascii="宋体" w:hAnsi="宋体"/>
          <w:color w:val="auto"/>
          <w:kern w:val="2"/>
          <w:szCs w:val="28"/>
          <w:lang w:eastAsia="zh-CN" w:bidi="ar-SA"/>
        </w:rPr>
      </w:pPr>
      <w:bookmarkStart w:id="364" w:name="_Toc15280"/>
      <w:bookmarkStart w:id="365" w:name="_Toc504765777"/>
      <w:bookmarkStart w:id="366" w:name="_Toc102829715"/>
      <w:bookmarkStart w:id="367" w:name="_Toc508"/>
      <w:bookmarkStart w:id="368" w:name="_Toc429073013"/>
      <w:r>
        <w:rPr>
          <w:rFonts w:hint="eastAsia"/>
          <w:lang w:eastAsia="zh-CN"/>
        </w:rPr>
        <w:t>4.1.3各单元采用的评价方法</w:t>
      </w:r>
      <w:bookmarkEnd w:id="364"/>
      <w:bookmarkEnd w:id="365"/>
      <w:bookmarkEnd w:id="366"/>
      <w:bookmarkEnd w:id="367"/>
    </w:p>
    <w:p>
      <w:pPr>
        <w:wordWrap/>
        <w:topLinePunct w:val="0"/>
        <w:bidi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安全评价方法是对系统的各种危险、危害因素进行分析、评价的工具。目前已开发出数十种，每一种评价方法的原理、目标、应用条件、适用对象不尽相同，各有其特点和优缺点。</w:t>
      </w:r>
    </w:p>
    <w:p>
      <w:pPr>
        <w:wordWrap/>
        <w:topLinePunct w:val="0"/>
        <w:bidi w:val="0"/>
        <w:spacing w:line="500" w:lineRule="exact"/>
        <w:ind w:firstLine="560" w:firstLineChars="200"/>
        <w:textAlignment w:val="auto"/>
        <w:rPr>
          <w:rFonts w:hint="eastAsia" w:ascii="宋体" w:hAnsi="宋体"/>
          <w:color w:val="auto"/>
          <w:sz w:val="28"/>
          <w:szCs w:val="28"/>
        </w:rPr>
      </w:pPr>
      <w:r>
        <w:rPr>
          <w:rFonts w:hint="eastAsia" w:ascii="宋体" w:hAnsi="宋体" w:eastAsia="宋体" w:cs="Times New Roman"/>
          <w:color w:val="auto"/>
          <w:sz w:val="28"/>
          <w:szCs w:val="28"/>
        </w:rPr>
        <w:t>根据该矿山建设项目危险有害因素的特点和评价方法的适用性，本次安全现状评价采用的方法有：安全检查表分析法（SCL）。</w:t>
      </w:r>
    </w:p>
    <w:p>
      <w:pPr>
        <w:wordWrap/>
        <w:topLinePunct w:val="0"/>
        <w:bidi w:val="0"/>
        <w:adjustRightInd w:val="0"/>
        <w:snapToGrid w:val="0"/>
        <w:spacing w:line="500" w:lineRule="exact"/>
        <w:jc w:val="center"/>
        <w:textAlignment w:val="auto"/>
        <w:rPr>
          <w:rFonts w:hint="eastAsia" w:ascii="宋体" w:hAnsi="宋体"/>
          <w:b/>
          <w:color w:val="auto"/>
          <w:szCs w:val="21"/>
        </w:rPr>
      </w:pPr>
      <w:r>
        <w:rPr>
          <w:rFonts w:hint="eastAsia" w:ascii="宋体" w:hAnsi="宋体"/>
          <w:b/>
          <w:color w:val="auto"/>
          <w:szCs w:val="21"/>
        </w:rPr>
        <w:t>表4-2评价单元采用的评价方法汇总</w:t>
      </w:r>
    </w:p>
    <w:tbl>
      <w:tblPr>
        <w:tblStyle w:val="35"/>
        <w:tblW w:w="4771" w:type="pct"/>
        <w:tblInd w:w="1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3273"/>
        <w:gridCol w:w="1973"/>
        <w:gridCol w:w="2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425" w:type="pct"/>
            <w:noWrap w:val="0"/>
            <w:vAlign w:val="center"/>
          </w:tcPr>
          <w:p>
            <w:pPr>
              <w:tabs>
                <w:tab w:val="left" w:pos="540"/>
              </w:tabs>
              <w:wordWrap/>
              <w:topLinePunct w:val="0"/>
              <w:bidi w:val="0"/>
              <w:spacing w:line="240" w:lineRule="auto"/>
              <w:jc w:val="center"/>
              <w:textAlignment w:val="auto"/>
              <w:rPr>
                <w:rFonts w:hint="eastAsia" w:ascii="宋体" w:hAnsi="宋体"/>
                <w:b/>
                <w:color w:val="auto"/>
                <w:szCs w:val="21"/>
              </w:rPr>
            </w:pPr>
            <w:r>
              <w:rPr>
                <w:rFonts w:hint="eastAsia" w:ascii="宋体" w:hAnsi="宋体"/>
                <w:b/>
                <w:color w:val="auto"/>
                <w:szCs w:val="21"/>
              </w:rPr>
              <w:t>序号</w:t>
            </w:r>
          </w:p>
        </w:tc>
        <w:tc>
          <w:tcPr>
            <w:tcW w:w="1846" w:type="pct"/>
            <w:noWrap w:val="0"/>
            <w:vAlign w:val="center"/>
          </w:tcPr>
          <w:p>
            <w:pPr>
              <w:tabs>
                <w:tab w:val="left" w:pos="540"/>
              </w:tabs>
              <w:wordWrap/>
              <w:topLinePunct w:val="0"/>
              <w:bidi w:val="0"/>
              <w:spacing w:line="240" w:lineRule="auto"/>
              <w:jc w:val="center"/>
              <w:textAlignment w:val="auto"/>
              <w:rPr>
                <w:rFonts w:hint="eastAsia" w:ascii="宋体" w:hAnsi="宋体"/>
                <w:b/>
                <w:color w:val="auto"/>
                <w:szCs w:val="21"/>
              </w:rPr>
            </w:pPr>
            <w:r>
              <w:rPr>
                <w:rFonts w:hint="eastAsia" w:ascii="宋体" w:hAnsi="宋体"/>
                <w:b/>
                <w:color w:val="auto"/>
                <w:szCs w:val="21"/>
              </w:rPr>
              <w:t>评价单元</w:t>
            </w:r>
          </w:p>
        </w:tc>
        <w:tc>
          <w:tcPr>
            <w:tcW w:w="1113" w:type="pct"/>
            <w:noWrap w:val="0"/>
            <w:vAlign w:val="center"/>
          </w:tcPr>
          <w:p>
            <w:pPr>
              <w:tabs>
                <w:tab w:val="left" w:pos="540"/>
              </w:tabs>
              <w:wordWrap/>
              <w:topLinePunct w:val="0"/>
              <w:bidi w:val="0"/>
              <w:spacing w:line="240" w:lineRule="auto"/>
              <w:jc w:val="center"/>
              <w:textAlignment w:val="auto"/>
              <w:rPr>
                <w:rFonts w:hint="eastAsia" w:ascii="宋体" w:hAnsi="宋体"/>
                <w:b/>
                <w:color w:val="auto"/>
                <w:szCs w:val="21"/>
              </w:rPr>
            </w:pPr>
            <w:r>
              <w:rPr>
                <w:rFonts w:hint="eastAsia" w:ascii="宋体" w:hAnsi="宋体"/>
                <w:b/>
                <w:color w:val="auto"/>
                <w:szCs w:val="21"/>
              </w:rPr>
              <w:t>使用的评价方法</w:t>
            </w:r>
          </w:p>
        </w:tc>
        <w:tc>
          <w:tcPr>
            <w:tcW w:w="1615" w:type="pct"/>
            <w:noWrap w:val="0"/>
            <w:vAlign w:val="center"/>
          </w:tcPr>
          <w:p>
            <w:pPr>
              <w:tabs>
                <w:tab w:val="left" w:pos="540"/>
              </w:tabs>
              <w:wordWrap/>
              <w:topLinePunct w:val="0"/>
              <w:bidi w:val="0"/>
              <w:spacing w:line="240" w:lineRule="auto"/>
              <w:jc w:val="center"/>
              <w:textAlignment w:val="auto"/>
              <w:rPr>
                <w:rFonts w:hint="eastAsia" w:ascii="宋体" w:hAnsi="宋体"/>
                <w:b/>
                <w:color w:val="auto"/>
                <w:szCs w:val="21"/>
              </w:rPr>
            </w:pPr>
            <w:r>
              <w:rPr>
                <w:rFonts w:hint="eastAsia" w:ascii="宋体" w:hAnsi="宋体"/>
                <w:b/>
                <w:color w:val="auto"/>
                <w:szCs w:val="21"/>
              </w:rPr>
              <w:t>选择理由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425" w:type="pct"/>
            <w:noWrap w:val="0"/>
            <w:vAlign w:val="center"/>
          </w:tcPr>
          <w:p>
            <w:pPr>
              <w:tabs>
                <w:tab w:val="left" w:pos="540"/>
              </w:tabs>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1</w:t>
            </w:r>
          </w:p>
        </w:tc>
        <w:tc>
          <w:tcPr>
            <w:tcW w:w="1846" w:type="pct"/>
            <w:noWrap w:val="0"/>
            <w:vAlign w:val="center"/>
          </w:tcPr>
          <w:p>
            <w:pPr>
              <w:wordWrap/>
              <w:topLinePunct w:val="0"/>
              <w:bidi w:val="0"/>
              <w:spacing w:line="240" w:lineRule="auto"/>
              <w:jc w:val="center"/>
              <w:textAlignment w:val="auto"/>
              <w:rPr>
                <w:rFonts w:hint="eastAsia" w:ascii="宋体" w:hAnsi="宋体"/>
                <w:color w:val="auto"/>
                <w:szCs w:val="21"/>
              </w:rPr>
            </w:pPr>
            <w:r>
              <w:rPr>
                <w:rFonts w:ascii="宋体" w:hAnsi="宋体"/>
                <w:color w:val="auto"/>
                <w:szCs w:val="21"/>
              </w:rPr>
              <w:t>总平面布置</w:t>
            </w:r>
            <w:r>
              <w:rPr>
                <w:rFonts w:hint="eastAsia" w:ascii="宋体" w:hAnsi="宋体"/>
                <w:color w:val="auto"/>
                <w:szCs w:val="21"/>
              </w:rPr>
              <w:t>单元</w:t>
            </w:r>
          </w:p>
        </w:tc>
        <w:tc>
          <w:tcPr>
            <w:tcW w:w="1113" w:type="pct"/>
            <w:noWrap w:val="0"/>
            <w:vAlign w:val="center"/>
          </w:tcPr>
          <w:p>
            <w:pPr>
              <w:tabs>
                <w:tab w:val="left" w:pos="540"/>
              </w:tabs>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安全检查表</w:t>
            </w:r>
          </w:p>
        </w:tc>
        <w:tc>
          <w:tcPr>
            <w:tcW w:w="1615" w:type="pct"/>
            <w:vMerge w:val="restart"/>
            <w:noWrap w:val="0"/>
            <w:vAlign w:val="center"/>
          </w:tcPr>
          <w:p>
            <w:pPr>
              <w:tabs>
                <w:tab w:val="left" w:pos="540"/>
              </w:tabs>
              <w:wordWrap/>
              <w:topLinePunct w:val="0"/>
              <w:bidi w:val="0"/>
              <w:spacing w:line="240" w:lineRule="auto"/>
              <w:jc w:val="center"/>
              <w:textAlignment w:val="auto"/>
              <w:rPr>
                <w:rFonts w:ascii="宋体" w:hAnsi="宋体"/>
                <w:color w:val="auto"/>
                <w:szCs w:val="21"/>
              </w:rPr>
            </w:pPr>
            <w:r>
              <w:rPr>
                <w:rFonts w:ascii="宋体" w:hAnsi="宋体"/>
                <w:color w:val="auto"/>
                <w:szCs w:val="21"/>
              </w:rPr>
              <w:t>依据国家有关法规、标准在检查表中列出了检查要求，使检查工作标准化、规范化。检查</w:t>
            </w:r>
            <w:r>
              <w:rPr>
                <w:rFonts w:hint="eastAsia" w:ascii="宋体" w:hAnsi="宋体"/>
                <w:color w:val="auto"/>
                <w:szCs w:val="21"/>
              </w:rPr>
              <w:t>开拓运输</w:t>
            </w:r>
            <w:r>
              <w:rPr>
                <w:rFonts w:ascii="宋体" w:hAnsi="宋体"/>
                <w:color w:val="auto"/>
                <w:szCs w:val="21"/>
              </w:rPr>
              <w:t>与国家法律法规、标准规范的符合性。</w:t>
            </w:r>
          </w:p>
          <w:p>
            <w:pPr>
              <w:tabs>
                <w:tab w:val="left" w:pos="540"/>
              </w:tabs>
              <w:wordWrap/>
              <w:topLinePunct w:val="0"/>
              <w:bidi w:val="0"/>
              <w:spacing w:line="240" w:lineRule="auto"/>
              <w:jc w:val="center"/>
              <w:textAlignment w:val="auto"/>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25" w:type="pct"/>
            <w:noWrap w:val="0"/>
            <w:vAlign w:val="center"/>
          </w:tcPr>
          <w:p>
            <w:pPr>
              <w:tabs>
                <w:tab w:val="left" w:pos="540"/>
              </w:tabs>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2</w:t>
            </w:r>
          </w:p>
        </w:tc>
        <w:tc>
          <w:tcPr>
            <w:tcW w:w="1846" w:type="pct"/>
            <w:noWrap w:val="0"/>
            <w:vAlign w:val="center"/>
          </w:tcPr>
          <w:p>
            <w:pPr>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开拓运输</w:t>
            </w:r>
          </w:p>
        </w:tc>
        <w:tc>
          <w:tcPr>
            <w:tcW w:w="1113" w:type="pct"/>
            <w:noWrap w:val="0"/>
            <w:vAlign w:val="center"/>
          </w:tcPr>
          <w:p>
            <w:pPr>
              <w:tabs>
                <w:tab w:val="left" w:pos="540"/>
              </w:tabs>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安全检查表</w:t>
            </w:r>
          </w:p>
        </w:tc>
        <w:tc>
          <w:tcPr>
            <w:tcW w:w="1615" w:type="pct"/>
            <w:vMerge w:val="continue"/>
            <w:noWrap w:val="0"/>
            <w:vAlign w:val="center"/>
          </w:tcPr>
          <w:p>
            <w:pPr>
              <w:tabs>
                <w:tab w:val="left" w:pos="540"/>
              </w:tabs>
              <w:wordWrap/>
              <w:topLinePunct w:val="0"/>
              <w:bidi w:val="0"/>
              <w:spacing w:line="240" w:lineRule="auto"/>
              <w:jc w:val="center"/>
              <w:textAlignment w:val="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25" w:type="pct"/>
            <w:noWrap w:val="0"/>
            <w:vAlign w:val="center"/>
          </w:tcPr>
          <w:p>
            <w:pPr>
              <w:tabs>
                <w:tab w:val="left" w:pos="540"/>
              </w:tabs>
              <w:wordWrap/>
              <w:topLinePunct w:val="0"/>
              <w:bidi w:val="0"/>
              <w:spacing w:line="240" w:lineRule="auto"/>
              <w:jc w:val="center"/>
              <w:textAlignment w:val="auto"/>
              <w:rPr>
                <w:rFonts w:hint="eastAsia" w:ascii="宋体" w:hAnsi="宋体" w:eastAsia="宋体"/>
                <w:color w:val="auto"/>
                <w:szCs w:val="21"/>
                <w:lang w:val="en-US" w:eastAsia="zh-CN"/>
              </w:rPr>
            </w:pPr>
            <w:r>
              <w:rPr>
                <w:rFonts w:hint="eastAsia" w:ascii="宋体" w:hAnsi="宋体"/>
                <w:color w:val="auto"/>
                <w:szCs w:val="21"/>
                <w:lang w:val="en-US" w:eastAsia="zh-CN"/>
              </w:rPr>
              <w:t>3</w:t>
            </w:r>
          </w:p>
        </w:tc>
        <w:tc>
          <w:tcPr>
            <w:tcW w:w="1846" w:type="pct"/>
            <w:noWrap w:val="0"/>
            <w:vAlign w:val="center"/>
          </w:tcPr>
          <w:p>
            <w:pPr>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采剥单元</w:t>
            </w:r>
          </w:p>
        </w:tc>
        <w:tc>
          <w:tcPr>
            <w:tcW w:w="1113" w:type="pct"/>
            <w:noWrap w:val="0"/>
            <w:vAlign w:val="center"/>
          </w:tcPr>
          <w:p>
            <w:pPr>
              <w:tabs>
                <w:tab w:val="left" w:pos="540"/>
              </w:tabs>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安全检查表</w:t>
            </w:r>
          </w:p>
        </w:tc>
        <w:tc>
          <w:tcPr>
            <w:tcW w:w="1615" w:type="pct"/>
            <w:vMerge w:val="continue"/>
            <w:noWrap w:val="0"/>
            <w:vAlign w:val="center"/>
          </w:tcPr>
          <w:p>
            <w:pPr>
              <w:tabs>
                <w:tab w:val="left" w:pos="540"/>
              </w:tabs>
              <w:wordWrap/>
              <w:topLinePunct w:val="0"/>
              <w:bidi w:val="0"/>
              <w:spacing w:line="240" w:lineRule="auto"/>
              <w:jc w:val="center"/>
              <w:textAlignment w:val="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425" w:type="pct"/>
            <w:noWrap w:val="0"/>
            <w:vAlign w:val="center"/>
          </w:tcPr>
          <w:p>
            <w:pPr>
              <w:tabs>
                <w:tab w:val="left" w:pos="540"/>
              </w:tabs>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4</w:t>
            </w:r>
          </w:p>
        </w:tc>
        <w:tc>
          <w:tcPr>
            <w:tcW w:w="1846" w:type="pct"/>
            <w:noWrap w:val="0"/>
            <w:vAlign w:val="center"/>
          </w:tcPr>
          <w:p>
            <w:pPr>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采场排防水系统单元</w:t>
            </w:r>
          </w:p>
        </w:tc>
        <w:tc>
          <w:tcPr>
            <w:tcW w:w="1113" w:type="pct"/>
            <w:noWrap w:val="0"/>
            <w:vAlign w:val="center"/>
          </w:tcPr>
          <w:p>
            <w:pPr>
              <w:wordWrap/>
              <w:topLinePunct w:val="0"/>
              <w:bidi w:val="0"/>
              <w:spacing w:line="240" w:lineRule="auto"/>
              <w:jc w:val="center"/>
              <w:textAlignment w:val="auto"/>
              <w:rPr>
                <w:rFonts w:ascii="宋体" w:hAnsi="宋体"/>
                <w:color w:val="auto"/>
                <w:szCs w:val="21"/>
              </w:rPr>
            </w:pPr>
            <w:r>
              <w:rPr>
                <w:rFonts w:hint="eastAsia" w:ascii="宋体" w:hAnsi="宋体"/>
                <w:color w:val="auto"/>
                <w:szCs w:val="21"/>
              </w:rPr>
              <w:t>安全检查表</w:t>
            </w:r>
          </w:p>
        </w:tc>
        <w:tc>
          <w:tcPr>
            <w:tcW w:w="1615" w:type="pct"/>
            <w:vMerge w:val="continue"/>
            <w:noWrap w:val="0"/>
            <w:vAlign w:val="center"/>
          </w:tcPr>
          <w:p>
            <w:pPr>
              <w:tabs>
                <w:tab w:val="left" w:pos="540"/>
              </w:tabs>
              <w:wordWrap/>
              <w:topLinePunct w:val="0"/>
              <w:bidi w:val="0"/>
              <w:spacing w:line="240" w:lineRule="auto"/>
              <w:jc w:val="center"/>
              <w:textAlignment w:val="auto"/>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425" w:type="pct"/>
            <w:noWrap w:val="0"/>
            <w:vAlign w:val="center"/>
          </w:tcPr>
          <w:p>
            <w:pPr>
              <w:tabs>
                <w:tab w:val="left" w:pos="540"/>
              </w:tabs>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5</w:t>
            </w:r>
          </w:p>
        </w:tc>
        <w:tc>
          <w:tcPr>
            <w:tcW w:w="1846" w:type="pct"/>
            <w:noWrap w:val="0"/>
            <w:vAlign w:val="center"/>
          </w:tcPr>
          <w:p>
            <w:pPr>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供配电设施单元</w:t>
            </w:r>
          </w:p>
        </w:tc>
        <w:tc>
          <w:tcPr>
            <w:tcW w:w="1113" w:type="pct"/>
            <w:noWrap w:val="0"/>
            <w:vAlign w:val="center"/>
          </w:tcPr>
          <w:p>
            <w:pPr>
              <w:tabs>
                <w:tab w:val="left" w:pos="540"/>
              </w:tabs>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安全检查表</w:t>
            </w:r>
          </w:p>
        </w:tc>
        <w:tc>
          <w:tcPr>
            <w:tcW w:w="1615" w:type="pct"/>
            <w:vMerge w:val="continue"/>
            <w:noWrap w:val="0"/>
            <w:vAlign w:val="center"/>
          </w:tcPr>
          <w:p>
            <w:pPr>
              <w:tabs>
                <w:tab w:val="left" w:pos="540"/>
              </w:tabs>
              <w:wordWrap/>
              <w:topLinePunct w:val="0"/>
              <w:bidi w:val="0"/>
              <w:spacing w:line="240" w:lineRule="auto"/>
              <w:jc w:val="center"/>
              <w:textAlignment w:val="auto"/>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25" w:type="pct"/>
            <w:noWrap w:val="0"/>
            <w:vAlign w:val="center"/>
          </w:tcPr>
          <w:p>
            <w:pPr>
              <w:tabs>
                <w:tab w:val="left" w:pos="540"/>
              </w:tabs>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6</w:t>
            </w:r>
          </w:p>
        </w:tc>
        <w:tc>
          <w:tcPr>
            <w:tcW w:w="1846" w:type="pct"/>
            <w:noWrap w:val="0"/>
            <w:vAlign w:val="center"/>
          </w:tcPr>
          <w:p>
            <w:pPr>
              <w:wordWrap/>
              <w:topLinePunct w:val="0"/>
              <w:bidi w:val="0"/>
              <w:spacing w:line="240" w:lineRule="auto"/>
              <w:jc w:val="center"/>
              <w:textAlignment w:val="auto"/>
              <w:rPr>
                <w:rFonts w:ascii="宋体" w:hAnsi="宋体"/>
                <w:color w:val="auto"/>
                <w:szCs w:val="21"/>
              </w:rPr>
            </w:pPr>
            <w:r>
              <w:rPr>
                <w:rFonts w:hint="eastAsia" w:ascii="宋体" w:hAnsi="宋体"/>
                <w:color w:val="auto"/>
                <w:szCs w:val="21"/>
              </w:rPr>
              <w:t>个人安全防护单元</w:t>
            </w:r>
          </w:p>
        </w:tc>
        <w:tc>
          <w:tcPr>
            <w:tcW w:w="1113" w:type="pct"/>
            <w:noWrap w:val="0"/>
            <w:vAlign w:val="center"/>
          </w:tcPr>
          <w:p>
            <w:pPr>
              <w:tabs>
                <w:tab w:val="left" w:pos="540"/>
              </w:tabs>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安全检查表</w:t>
            </w:r>
          </w:p>
        </w:tc>
        <w:tc>
          <w:tcPr>
            <w:tcW w:w="1615" w:type="pct"/>
            <w:vMerge w:val="continue"/>
            <w:noWrap w:val="0"/>
            <w:vAlign w:val="center"/>
          </w:tcPr>
          <w:p>
            <w:pPr>
              <w:tabs>
                <w:tab w:val="left" w:pos="540"/>
              </w:tabs>
              <w:wordWrap/>
              <w:topLinePunct w:val="0"/>
              <w:bidi w:val="0"/>
              <w:spacing w:line="240" w:lineRule="auto"/>
              <w:jc w:val="center"/>
              <w:textAlignment w:val="auto"/>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425" w:type="pct"/>
            <w:noWrap w:val="0"/>
            <w:vAlign w:val="center"/>
          </w:tcPr>
          <w:p>
            <w:pPr>
              <w:tabs>
                <w:tab w:val="left" w:pos="540"/>
              </w:tabs>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7</w:t>
            </w:r>
          </w:p>
        </w:tc>
        <w:tc>
          <w:tcPr>
            <w:tcW w:w="1846" w:type="pct"/>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安全</w:t>
            </w:r>
            <w:r>
              <w:rPr>
                <w:rFonts w:hint="eastAsia" w:ascii="宋体" w:hAnsi="宋体"/>
                <w:color w:val="auto"/>
                <w:szCs w:val="21"/>
              </w:rPr>
              <w:t>标志单元</w:t>
            </w:r>
          </w:p>
        </w:tc>
        <w:tc>
          <w:tcPr>
            <w:tcW w:w="1113" w:type="pct"/>
            <w:noWrap w:val="0"/>
            <w:vAlign w:val="center"/>
          </w:tcPr>
          <w:p>
            <w:pPr>
              <w:tabs>
                <w:tab w:val="left" w:pos="540"/>
              </w:tabs>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安全检查表</w:t>
            </w:r>
          </w:p>
        </w:tc>
        <w:tc>
          <w:tcPr>
            <w:tcW w:w="1615" w:type="pct"/>
            <w:vMerge w:val="continue"/>
            <w:noWrap w:val="0"/>
            <w:vAlign w:val="center"/>
          </w:tcPr>
          <w:p>
            <w:pPr>
              <w:tabs>
                <w:tab w:val="left" w:pos="540"/>
              </w:tabs>
              <w:wordWrap/>
              <w:topLinePunct w:val="0"/>
              <w:bidi w:val="0"/>
              <w:spacing w:line="240" w:lineRule="auto"/>
              <w:jc w:val="center"/>
              <w:textAlignment w:val="auto"/>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25" w:type="pct"/>
            <w:noWrap w:val="0"/>
            <w:vAlign w:val="center"/>
          </w:tcPr>
          <w:p>
            <w:pPr>
              <w:tabs>
                <w:tab w:val="left" w:pos="540"/>
              </w:tabs>
              <w:wordWrap/>
              <w:topLinePunct w:val="0"/>
              <w:bidi w:val="0"/>
              <w:spacing w:line="240" w:lineRule="auto"/>
              <w:jc w:val="center"/>
              <w:textAlignment w:val="auto"/>
              <w:rPr>
                <w:rFonts w:hint="eastAsia" w:ascii="宋体" w:hAnsi="宋体" w:eastAsia="宋体"/>
                <w:color w:val="auto"/>
                <w:szCs w:val="21"/>
                <w:lang w:eastAsia="zh-CN"/>
              </w:rPr>
            </w:pPr>
            <w:r>
              <w:rPr>
                <w:rFonts w:hint="eastAsia" w:ascii="宋体" w:hAnsi="宋体"/>
                <w:color w:val="auto"/>
                <w:szCs w:val="21"/>
                <w:lang w:val="en-US" w:eastAsia="zh-CN"/>
              </w:rPr>
              <w:t>8</w:t>
            </w:r>
          </w:p>
        </w:tc>
        <w:tc>
          <w:tcPr>
            <w:tcW w:w="1846" w:type="pct"/>
            <w:noWrap w:val="0"/>
            <w:vAlign w:val="center"/>
          </w:tcPr>
          <w:p>
            <w:pPr>
              <w:wordWrap/>
              <w:topLinePunct w:val="0"/>
              <w:bidi w:val="0"/>
              <w:spacing w:line="240" w:lineRule="auto"/>
              <w:jc w:val="center"/>
              <w:textAlignment w:val="auto"/>
              <w:rPr>
                <w:rFonts w:ascii="宋体" w:hAnsi="宋体"/>
                <w:color w:val="auto"/>
                <w:szCs w:val="21"/>
              </w:rPr>
            </w:pPr>
            <w:r>
              <w:rPr>
                <w:rFonts w:hint="eastAsia" w:ascii="宋体" w:hAnsi="宋体"/>
                <w:color w:val="auto"/>
                <w:szCs w:val="21"/>
              </w:rPr>
              <w:t>安全管理单元</w:t>
            </w:r>
          </w:p>
        </w:tc>
        <w:tc>
          <w:tcPr>
            <w:tcW w:w="1113" w:type="pct"/>
            <w:noWrap w:val="0"/>
            <w:vAlign w:val="center"/>
          </w:tcPr>
          <w:p>
            <w:pPr>
              <w:tabs>
                <w:tab w:val="left" w:pos="540"/>
              </w:tabs>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安全检查表</w:t>
            </w:r>
          </w:p>
        </w:tc>
        <w:tc>
          <w:tcPr>
            <w:tcW w:w="1615" w:type="pct"/>
            <w:vMerge w:val="continue"/>
            <w:noWrap w:val="0"/>
            <w:vAlign w:val="center"/>
          </w:tcPr>
          <w:p>
            <w:pPr>
              <w:tabs>
                <w:tab w:val="left" w:pos="540"/>
              </w:tabs>
              <w:wordWrap/>
              <w:topLinePunct w:val="0"/>
              <w:bidi w:val="0"/>
              <w:spacing w:line="240" w:lineRule="auto"/>
              <w:jc w:val="center"/>
              <w:textAlignment w:val="auto"/>
              <w:rPr>
                <w:rFonts w:hint="eastAsia"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425" w:type="pct"/>
            <w:noWrap w:val="0"/>
            <w:vAlign w:val="center"/>
          </w:tcPr>
          <w:p>
            <w:pPr>
              <w:tabs>
                <w:tab w:val="left" w:pos="540"/>
              </w:tabs>
              <w:wordWrap/>
              <w:topLinePunct w:val="0"/>
              <w:bidi w:val="0"/>
              <w:spacing w:line="240" w:lineRule="auto"/>
              <w:jc w:val="center"/>
              <w:textAlignment w:val="auto"/>
              <w:rPr>
                <w:rFonts w:hint="eastAsia" w:ascii="宋体" w:hAnsi="宋体" w:eastAsia="宋体"/>
                <w:color w:val="auto"/>
                <w:szCs w:val="21"/>
                <w:lang w:eastAsia="zh-CN"/>
              </w:rPr>
            </w:pPr>
            <w:r>
              <w:rPr>
                <w:rFonts w:hint="eastAsia" w:ascii="宋体" w:hAnsi="宋体"/>
                <w:color w:val="auto"/>
                <w:szCs w:val="21"/>
                <w:lang w:val="en-US" w:eastAsia="zh-CN"/>
              </w:rPr>
              <w:t>9</w:t>
            </w:r>
          </w:p>
        </w:tc>
        <w:tc>
          <w:tcPr>
            <w:tcW w:w="1846" w:type="pct"/>
            <w:noWrap w:val="0"/>
            <w:vAlign w:val="center"/>
          </w:tcPr>
          <w:p>
            <w:pPr>
              <w:wordWrap/>
              <w:topLinePunct w:val="0"/>
              <w:bidi w:val="0"/>
              <w:spacing w:line="240" w:lineRule="auto"/>
              <w:jc w:val="center"/>
              <w:textAlignment w:val="auto"/>
              <w:rPr>
                <w:rFonts w:ascii="宋体" w:hAnsi="宋体"/>
                <w:color w:val="auto"/>
                <w:szCs w:val="21"/>
              </w:rPr>
            </w:pPr>
            <w:r>
              <w:rPr>
                <w:rFonts w:hint="eastAsia" w:ascii="宋体" w:hAnsi="宋体"/>
                <w:color w:val="auto"/>
                <w:szCs w:val="21"/>
              </w:rPr>
              <w:t>重大生产安全事故隐患判定单元</w:t>
            </w:r>
          </w:p>
        </w:tc>
        <w:tc>
          <w:tcPr>
            <w:tcW w:w="1113" w:type="pct"/>
            <w:noWrap w:val="0"/>
            <w:vAlign w:val="center"/>
          </w:tcPr>
          <w:p>
            <w:pPr>
              <w:tabs>
                <w:tab w:val="left" w:pos="540"/>
              </w:tabs>
              <w:wordWrap/>
              <w:topLinePunct w:val="0"/>
              <w:bidi w:val="0"/>
              <w:spacing w:line="240" w:lineRule="auto"/>
              <w:jc w:val="center"/>
              <w:textAlignment w:val="auto"/>
              <w:rPr>
                <w:rFonts w:hint="eastAsia" w:ascii="宋体" w:hAnsi="宋体"/>
                <w:color w:val="auto"/>
                <w:szCs w:val="21"/>
              </w:rPr>
            </w:pPr>
            <w:r>
              <w:rPr>
                <w:rFonts w:hint="eastAsia" w:ascii="宋体" w:hAnsi="宋体"/>
                <w:color w:val="auto"/>
                <w:szCs w:val="21"/>
              </w:rPr>
              <w:t>安全检查表</w:t>
            </w:r>
          </w:p>
        </w:tc>
        <w:tc>
          <w:tcPr>
            <w:tcW w:w="1615" w:type="pct"/>
            <w:vMerge w:val="continue"/>
            <w:noWrap w:val="0"/>
            <w:vAlign w:val="center"/>
          </w:tcPr>
          <w:p>
            <w:pPr>
              <w:tabs>
                <w:tab w:val="left" w:pos="540"/>
              </w:tabs>
              <w:wordWrap/>
              <w:topLinePunct w:val="0"/>
              <w:bidi w:val="0"/>
              <w:spacing w:line="240" w:lineRule="auto"/>
              <w:jc w:val="center"/>
              <w:textAlignment w:val="auto"/>
              <w:rPr>
                <w:rFonts w:hint="eastAsia" w:ascii="宋体" w:hAnsi="宋体"/>
                <w:color w:val="auto"/>
                <w:szCs w:val="21"/>
              </w:rPr>
            </w:pPr>
          </w:p>
        </w:tc>
      </w:tr>
      <w:bookmarkEnd w:id="368"/>
    </w:tbl>
    <w:p>
      <w:pPr>
        <w:pStyle w:val="4"/>
        <w:bidi w:val="0"/>
        <w:rPr>
          <w:rFonts w:hint="eastAsia"/>
          <w:lang w:eastAsia="zh-CN"/>
        </w:rPr>
      </w:pPr>
      <w:bookmarkStart w:id="369" w:name="_Toc1018"/>
      <w:r>
        <w:rPr>
          <w:rFonts w:hint="eastAsia"/>
          <w:lang w:eastAsia="zh-CN"/>
        </w:rPr>
        <w:t>4.2总平面布置</w:t>
      </w:r>
      <w:bookmarkEnd w:id="333"/>
      <w:bookmarkEnd w:id="334"/>
      <w:r>
        <w:rPr>
          <w:rFonts w:hint="eastAsia"/>
          <w:lang w:eastAsia="zh-CN"/>
        </w:rPr>
        <w:t>单元</w:t>
      </w:r>
      <w:bookmarkEnd w:id="335"/>
      <w:bookmarkEnd w:id="336"/>
      <w:bookmarkEnd w:id="337"/>
      <w:bookmarkEnd w:id="369"/>
    </w:p>
    <w:p>
      <w:pPr>
        <w:pStyle w:val="5"/>
        <w:bidi w:val="0"/>
        <w:rPr>
          <w:rFonts w:hint="eastAsia"/>
          <w:lang w:eastAsia="zh-CN"/>
        </w:rPr>
      </w:pPr>
      <w:bookmarkStart w:id="370" w:name="_Toc18793"/>
      <w:bookmarkStart w:id="371" w:name="_Toc11836"/>
      <w:bookmarkStart w:id="372" w:name="_Toc438635190"/>
      <w:bookmarkStart w:id="373" w:name="_Toc502865217"/>
      <w:bookmarkStart w:id="374" w:name="_Toc102829717"/>
      <w:bookmarkStart w:id="375" w:name="_Toc467792817"/>
      <w:bookmarkStart w:id="376" w:name="_Toc1444"/>
      <w:r>
        <w:rPr>
          <w:rFonts w:hint="eastAsia"/>
          <w:lang w:eastAsia="zh-CN"/>
        </w:rPr>
        <w:t>4.2.1</w:t>
      </w:r>
      <w:bookmarkEnd w:id="370"/>
      <w:bookmarkEnd w:id="371"/>
      <w:bookmarkStart w:id="377" w:name="_Toc22207"/>
      <w:bookmarkStart w:id="378" w:name="_Toc31344"/>
      <w:r>
        <w:rPr>
          <w:rFonts w:hint="eastAsia"/>
          <w:lang w:eastAsia="zh-CN"/>
        </w:rPr>
        <w:t>总平面布置安全检查表</w:t>
      </w:r>
      <w:bookmarkEnd w:id="372"/>
      <w:bookmarkEnd w:id="373"/>
      <w:bookmarkEnd w:id="374"/>
      <w:bookmarkEnd w:id="375"/>
      <w:bookmarkEnd w:id="376"/>
      <w:bookmarkEnd w:id="377"/>
      <w:bookmarkEnd w:id="378"/>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color w:val="auto"/>
          <w:sz w:val="28"/>
          <w:szCs w:val="28"/>
        </w:rPr>
      </w:pPr>
      <w:r>
        <w:rPr>
          <w:rFonts w:hint="eastAsia" w:ascii="宋体" w:hAnsi="宋体"/>
          <w:color w:val="000000" w:themeColor="text1"/>
          <w:sz w:val="28"/>
          <w:szCs w:val="28"/>
          <w14:textFill>
            <w14:solidFill>
              <w14:schemeClr w14:val="tx1"/>
            </w14:solidFill>
          </w14:textFill>
        </w:rPr>
        <w:t>根据《工业企业总平面设计规范》(GB50187-2012)、《</w:t>
      </w:r>
      <w:r>
        <w:rPr>
          <w:rFonts w:hint="eastAsia" w:ascii="宋体" w:hAnsi="宋体"/>
          <w:color w:val="000000" w:themeColor="text1"/>
          <w:sz w:val="28"/>
          <w:szCs w:val="28"/>
          <w:lang w:eastAsia="zh-CN"/>
          <w14:textFill>
            <w14:solidFill>
              <w14:schemeClr w14:val="tx1"/>
            </w14:solidFill>
          </w14:textFill>
        </w:rPr>
        <w:t>安全设施设计</w:t>
      </w:r>
      <w:r>
        <w:rPr>
          <w:rFonts w:hint="eastAsia" w:ascii="宋体" w:hAnsi="宋体"/>
          <w:color w:val="000000" w:themeColor="text1"/>
          <w:sz w:val="28"/>
          <w:szCs w:val="28"/>
          <w14:textFill>
            <w14:solidFill>
              <w14:schemeClr w14:val="tx1"/>
            </w14:solidFill>
          </w14:textFill>
        </w:rPr>
        <w:t>》、《工业企业厂内铁路、道路运输安全规程》、《金属非金属矿山安全规程》（GB16423-2020）、《小型露天采石场安全管理与监督检查规定》（GB4387-94）中的相关条款对该项目厂址选择及总平面布置的进行对照检查。检查表见</w:t>
      </w:r>
      <w:r>
        <w:rPr>
          <w:rFonts w:hint="eastAsia" w:ascii="宋体" w:hAnsi="宋体"/>
          <w:color w:val="auto"/>
          <w:sz w:val="28"/>
          <w:szCs w:val="28"/>
        </w:rPr>
        <w:t>表4-3。</w:t>
      </w:r>
    </w:p>
    <w:p>
      <w:pPr>
        <w:wordWrap/>
        <w:topLinePunct w:val="0"/>
        <w:bidi w:val="0"/>
        <w:spacing w:line="500" w:lineRule="exact"/>
        <w:ind w:firstLine="482"/>
        <w:jc w:val="center"/>
        <w:textAlignment w:val="auto"/>
        <w:rPr>
          <w:rFonts w:hint="eastAsia" w:ascii="宋体" w:hAnsi="宋体"/>
          <w:b/>
          <w:bCs/>
          <w:color w:val="auto"/>
          <w:sz w:val="24"/>
        </w:rPr>
      </w:pPr>
      <w:r>
        <w:rPr>
          <w:rFonts w:ascii="宋体" w:hAnsi="宋体"/>
          <w:b/>
          <w:bCs/>
          <w:color w:val="auto"/>
          <w:sz w:val="24"/>
        </w:rPr>
        <w:t>表</w:t>
      </w: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3</w:t>
      </w:r>
      <w:r>
        <w:rPr>
          <w:rFonts w:ascii="宋体" w:hAnsi="宋体"/>
          <w:b/>
          <w:bCs/>
          <w:color w:val="auto"/>
          <w:sz w:val="24"/>
        </w:rPr>
        <w:t>总平面布置单元安全检查表</w:t>
      </w:r>
    </w:p>
    <w:tbl>
      <w:tblPr>
        <w:tblStyle w:val="35"/>
        <w:tblW w:w="481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4410"/>
        <w:gridCol w:w="1673"/>
        <w:gridCol w:w="1424"/>
        <w:gridCol w:w="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5" w:type="pct"/>
            <w:noWrap w:val="0"/>
            <w:vAlign w:val="center"/>
          </w:tcPr>
          <w:p>
            <w:pPr>
              <w:wordWrap/>
              <w:topLinePunct w:val="0"/>
              <w:bidi w:val="0"/>
              <w:adjustRightInd w:val="0"/>
              <w:snapToGrid w:val="0"/>
              <w:spacing w:line="240" w:lineRule="auto"/>
              <w:jc w:val="center"/>
              <w:textAlignment w:val="auto"/>
              <w:rPr>
                <w:rFonts w:ascii="宋体" w:hAnsi="宋体"/>
                <w:b/>
                <w:snapToGrid w:val="0"/>
                <w:color w:val="auto"/>
                <w:kern w:val="0"/>
                <w:szCs w:val="21"/>
              </w:rPr>
            </w:pPr>
            <w:r>
              <w:rPr>
                <w:rFonts w:ascii="宋体" w:hAnsi="宋体"/>
                <w:b/>
                <w:snapToGrid w:val="0"/>
                <w:color w:val="auto"/>
                <w:kern w:val="0"/>
                <w:szCs w:val="21"/>
              </w:rPr>
              <w:t>序号</w:t>
            </w:r>
          </w:p>
        </w:tc>
        <w:tc>
          <w:tcPr>
            <w:tcW w:w="2462" w:type="pct"/>
            <w:noWrap w:val="0"/>
            <w:vAlign w:val="center"/>
          </w:tcPr>
          <w:p>
            <w:pPr>
              <w:wordWrap/>
              <w:topLinePunct w:val="0"/>
              <w:bidi w:val="0"/>
              <w:adjustRightInd w:val="0"/>
              <w:snapToGrid w:val="0"/>
              <w:spacing w:line="240" w:lineRule="auto"/>
              <w:jc w:val="center"/>
              <w:textAlignment w:val="auto"/>
              <w:rPr>
                <w:rFonts w:ascii="宋体" w:hAnsi="宋体"/>
                <w:b/>
                <w:snapToGrid w:val="0"/>
                <w:color w:val="auto"/>
                <w:kern w:val="0"/>
                <w:szCs w:val="21"/>
              </w:rPr>
            </w:pPr>
            <w:r>
              <w:rPr>
                <w:rFonts w:ascii="宋体" w:hAnsi="宋体"/>
                <w:b/>
                <w:snapToGrid w:val="0"/>
                <w:color w:val="auto"/>
                <w:kern w:val="0"/>
                <w:szCs w:val="21"/>
              </w:rPr>
              <w:t>检查项目与内容</w:t>
            </w:r>
          </w:p>
        </w:tc>
        <w:tc>
          <w:tcPr>
            <w:tcW w:w="934" w:type="pct"/>
            <w:noWrap w:val="0"/>
            <w:vAlign w:val="center"/>
          </w:tcPr>
          <w:p>
            <w:pPr>
              <w:wordWrap/>
              <w:topLinePunct w:val="0"/>
              <w:bidi w:val="0"/>
              <w:adjustRightInd w:val="0"/>
              <w:snapToGrid w:val="0"/>
              <w:spacing w:line="240" w:lineRule="auto"/>
              <w:jc w:val="center"/>
              <w:textAlignment w:val="auto"/>
              <w:rPr>
                <w:rFonts w:ascii="宋体" w:hAnsi="宋体"/>
                <w:b/>
                <w:snapToGrid w:val="0"/>
                <w:color w:val="auto"/>
                <w:kern w:val="0"/>
                <w:szCs w:val="21"/>
              </w:rPr>
            </w:pPr>
            <w:r>
              <w:rPr>
                <w:rFonts w:ascii="宋体" w:hAnsi="宋体"/>
                <w:b/>
                <w:snapToGrid w:val="0"/>
                <w:color w:val="auto"/>
                <w:kern w:val="0"/>
                <w:szCs w:val="21"/>
              </w:rPr>
              <w:t>检查依据</w:t>
            </w:r>
          </w:p>
        </w:tc>
        <w:tc>
          <w:tcPr>
            <w:tcW w:w="795" w:type="pct"/>
            <w:noWrap w:val="0"/>
            <w:vAlign w:val="center"/>
          </w:tcPr>
          <w:p>
            <w:pPr>
              <w:wordWrap/>
              <w:topLinePunct w:val="0"/>
              <w:bidi w:val="0"/>
              <w:adjustRightInd w:val="0"/>
              <w:snapToGrid w:val="0"/>
              <w:spacing w:line="240" w:lineRule="auto"/>
              <w:jc w:val="center"/>
              <w:textAlignment w:val="auto"/>
              <w:rPr>
                <w:rFonts w:ascii="宋体" w:hAnsi="宋体"/>
                <w:b/>
                <w:snapToGrid w:val="0"/>
                <w:color w:val="auto"/>
                <w:kern w:val="0"/>
                <w:szCs w:val="21"/>
              </w:rPr>
            </w:pPr>
            <w:r>
              <w:rPr>
                <w:rFonts w:hint="eastAsia" w:ascii="宋体" w:hAnsi="宋体"/>
                <w:b/>
                <w:snapToGrid w:val="0"/>
                <w:color w:val="auto"/>
                <w:kern w:val="0"/>
                <w:szCs w:val="21"/>
                <w:lang w:val="en-US" w:eastAsia="zh-CN"/>
              </w:rPr>
              <w:t>检查</w:t>
            </w:r>
            <w:r>
              <w:rPr>
                <w:rFonts w:ascii="宋体" w:hAnsi="宋体"/>
                <w:b/>
                <w:snapToGrid w:val="0"/>
                <w:color w:val="auto"/>
                <w:kern w:val="0"/>
                <w:szCs w:val="21"/>
              </w:rPr>
              <w:t>情况</w:t>
            </w:r>
          </w:p>
        </w:tc>
        <w:tc>
          <w:tcPr>
            <w:tcW w:w="421" w:type="pct"/>
            <w:noWrap w:val="0"/>
            <w:vAlign w:val="center"/>
          </w:tcPr>
          <w:p>
            <w:pPr>
              <w:wordWrap/>
              <w:topLinePunct w:val="0"/>
              <w:bidi w:val="0"/>
              <w:adjustRightInd w:val="0"/>
              <w:snapToGrid w:val="0"/>
              <w:spacing w:line="240" w:lineRule="auto"/>
              <w:jc w:val="center"/>
              <w:textAlignment w:val="auto"/>
              <w:rPr>
                <w:rFonts w:ascii="宋体" w:hAnsi="宋体"/>
                <w:b/>
                <w:snapToGrid w:val="0"/>
                <w:color w:val="auto"/>
                <w:kern w:val="0"/>
                <w:szCs w:val="21"/>
              </w:rPr>
            </w:pPr>
            <w:r>
              <w:rPr>
                <w:rFonts w:hint="eastAsia" w:ascii="宋体" w:hAnsi="宋体"/>
                <w:b/>
                <w:snapToGrid w:val="0"/>
                <w:color w:val="auto"/>
                <w:kern w:val="0"/>
                <w:szCs w:val="21"/>
                <w:lang w:val="en-US" w:eastAsia="zh-CN"/>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7" w:hRule="atLeast"/>
          <w:jc w:val="center"/>
        </w:trPr>
        <w:tc>
          <w:tcPr>
            <w:tcW w:w="385" w:type="pct"/>
            <w:noWrap w:val="0"/>
            <w:vAlign w:val="center"/>
          </w:tcPr>
          <w:p>
            <w:pPr>
              <w:wordWrap/>
              <w:topLinePunct w:val="0"/>
              <w:bidi w:val="0"/>
              <w:adjustRightInd w:val="0"/>
              <w:snapToGrid w:val="0"/>
              <w:spacing w:line="240" w:lineRule="auto"/>
              <w:ind w:firstLine="210" w:firstLineChars="100"/>
              <w:textAlignment w:val="auto"/>
              <w:rPr>
                <w:rFonts w:ascii="宋体" w:hAnsi="宋体"/>
                <w:snapToGrid w:val="0"/>
                <w:color w:val="auto"/>
                <w:kern w:val="0"/>
                <w:szCs w:val="21"/>
              </w:rPr>
            </w:pPr>
            <w:r>
              <w:rPr>
                <w:rFonts w:ascii="宋体" w:hAnsi="宋体"/>
                <w:snapToGrid w:val="0"/>
                <w:color w:val="auto"/>
                <w:kern w:val="0"/>
                <w:szCs w:val="21"/>
              </w:rPr>
              <w:t>1</w:t>
            </w:r>
          </w:p>
        </w:tc>
        <w:tc>
          <w:tcPr>
            <w:tcW w:w="2462" w:type="pct"/>
            <w:noWrap w:val="0"/>
            <w:vAlign w:val="center"/>
          </w:tcPr>
          <w:p>
            <w:pPr>
              <w:wordWrap/>
              <w:topLinePunct w:val="0"/>
              <w:autoSpaceDE w:val="0"/>
              <w:autoSpaceDN w:val="0"/>
              <w:bidi w:val="0"/>
              <w:adjustRightInd w:val="0"/>
              <w:spacing w:line="240" w:lineRule="auto"/>
              <w:jc w:val="both"/>
              <w:textAlignment w:val="auto"/>
              <w:rPr>
                <w:rFonts w:ascii="宋体" w:hAnsi="宋体"/>
                <w:color w:val="auto"/>
                <w:szCs w:val="21"/>
              </w:rPr>
            </w:pPr>
            <w:r>
              <w:rPr>
                <w:rFonts w:ascii="宋体" w:hAnsi="宋体"/>
                <w:color w:val="auto"/>
                <w:szCs w:val="21"/>
              </w:rPr>
              <w:t>总平面布置应节约集约用地，提高土地利用率。布置时并应符合下列要求：</w:t>
            </w:r>
          </w:p>
          <w:p>
            <w:pPr>
              <w:wordWrap/>
              <w:topLinePunct w:val="0"/>
              <w:autoSpaceDE w:val="0"/>
              <w:autoSpaceDN w:val="0"/>
              <w:bidi w:val="0"/>
              <w:adjustRightInd w:val="0"/>
              <w:spacing w:line="240" w:lineRule="auto"/>
              <w:jc w:val="both"/>
              <w:textAlignment w:val="auto"/>
              <w:rPr>
                <w:rFonts w:ascii="宋体" w:hAnsi="宋体"/>
                <w:color w:val="auto"/>
                <w:szCs w:val="21"/>
              </w:rPr>
            </w:pPr>
            <w:r>
              <w:rPr>
                <w:rFonts w:ascii="宋体" w:hAnsi="宋体"/>
                <w:color w:val="auto"/>
                <w:szCs w:val="21"/>
              </w:rPr>
              <w:t>1</w:t>
            </w:r>
            <w:r>
              <w:rPr>
                <w:rFonts w:hint="eastAsia" w:ascii="宋体" w:hAnsi="宋体"/>
                <w:color w:val="auto"/>
                <w:szCs w:val="21"/>
                <w:lang w:eastAsia="zh-CN"/>
              </w:rPr>
              <w:t>）</w:t>
            </w:r>
            <w:r>
              <w:rPr>
                <w:rFonts w:ascii="宋体" w:hAnsi="宋体"/>
                <w:color w:val="auto"/>
                <w:szCs w:val="21"/>
              </w:rPr>
              <w:t>在符合生产流程、操作要求和使用功能的前提下，建筑物、构筑物等设施，应采用联合、集中、多层布置；</w:t>
            </w:r>
          </w:p>
          <w:p>
            <w:pPr>
              <w:wordWrap/>
              <w:topLinePunct w:val="0"/>
              <w:autoSpaceDE w:val="0"/>
              <w:autoSpaceDN w:val="0"/>
              <w:bidi w:val="0"/>
              <w:adjustRightInd w:val="0"/>
              <w:spacing w:line="240" w:lineRule="auto"/>
              <w:jc w:val="both"/>
              <w:textAlignment w:val="auto"/>
              <w:rPr>
                <w:rFonts w:ascii="宋体" w:hAnsi="宋体"/>
                <w:color w:val="auto"/>
                <w:szCs w:val="21"/>
              </w:rPr>
            </w:pPr>
            <w:r>
              <w:rPr>
                <w:rFonts w:ascii="宋体" w:hAnsi="宋体"/>
                <w:color w:val="auto"/>
                <w:szCs w:val="21"/>
              </w:rPr>
              <w:t>2</w:t>
            </w:r>
            <w:r>
              <w:rPr>
                <w:rFonts w:hint="eastAsia" w:ascii="宋体" w:hAnsi="宋体"/>
                <w:color w:val="auto"/>
                <w:szCs w:val="21"/>
                <w:lang w:eastAsia="zh-CN"/>
              </w:rPr>
              <w:t>）</w:t>
            </w:r>
            <w:r>
              <w:rPr>
                <w:rFonts w:ascii="宋体" w:hAnsi="宋体"/>
                <w:color w:val="auto"/>
                <w:szCs w:val="21"/>
              </w:rPr>
              <w:t>应按企业规模和功能分区，合理地确定通道宽度；</w:t>
            </w:r>
          </w:p>
          <w:p>
            <w:pPr>
              <w:wordWrap/>
              <w:topLinePunct w:val="0"/>
              <w:autoSpaceDE w:val="0"/>
              <w:autoSpaceDN w:val="0"/>
              <w:bidi w:val="0"/>
              <w:adjustRightInd w:val="0"/>
              <w:spacing w:line="240" w:lineRule="auto"/>
              <w:jc w:val="both"/>
              <w:textAlignment w:val="auto"/>
              <w:rPr>
                <w:rFonts w:ascii="宋体" w:hAnsi="宋体"/>
                <w:color w:val="auto"/>
                <w:szCs w:val="21"/>
              </w:rPr>
            </w:pPr>
            <w:r>
              <w:rPr>
                <w:rFonts w:ascii="宋体" w:hAnsi="宋体"/>
                <w:color w:val="auto"/>
                <w:szCs w:val="21"/>
              </w:rPr>
              <w:t>3</w:t>
            </w:r>
            <w:r>
              <w:rPr>
                <w:rFonts w:hint="eastAsia" w:ascii="宋体" w:hAnsi="宋体"/>
                <w:color w:val="auto"/>
                <w:szCs w:val="21"/>
                <w:lang w:eastAsia="zh-CN"/>
              </w:rPr>
              <w:t>）</w:t>
            </w:r>
            <w:r>
              <w:rPr>
                <w:rFonts w:ascii="宋体" w:hAnsi="宋体"/>
                <w:color w:val="auto"/>
                <w:szCs w:val="21"/>
              </w:rPr>
              <w:t>厂区功能分区及建筑物、构筑物的外形宜规整；</w:t>
            </w:r>
          </w:p>
          <w:p>
            <w:pPr>
              <w:wordWrap/>
              <w:topLinePunct w:val="0"/>
              <w:bidi w:val="0"/>
              <w:adjustRightInd w:val="0"/>
              <w:snapToGrid w:val="0"/>
              <w:spacing w:after="253" w:afterLines="80" w:line="240" w:lineRule="auto"/>
              <w:jc w:val="both"/>
              <w:textAlignment w:val="auto"/>
              <w:rPr>
                <w:rFonts w:ascii="宋体" w:hAnsi="宋体"/>
                <w:snapToGrid w:val="0"/>
                <w:color w:val="auto"/>
                <w:kern w:val="0"/>
                <w:szCs w:val="21"/>
              </w:rPr>
            </w:pPr>
            <w:r>
              <w:rPr>
                <w:rFonts w:ascii="宋体" w:hAnsi="宋体"/>
                <w:snapToGrid w:val="0"/>
                <w:color w:val="auto"/>
                <w:kern w:val="0"/>
                <w:szCs w:val="21"/>
              </w:rPr>
              <w:t>4</w:t>
            </w:r>
            <w:r>
              <w:rPr>
                <w:rFonts w:hint="eastAsia" w:ascii="宋体" w:hAnsi="宋体"/>
                <w:color w:val="auto"/>
                <w:szCs w:val="21"/>
                <w:lang w:eastAsia="zh-CN"/>
              </w:rPr>
              <w:t>）</w:t>
            </w:r>
            <w:r>
              <w:rPr>
                <w:rFonts w:ascii="宋体" w:hAnsi="宋体"/>
                <w:snapToGrid w:val="0"/>
                <w:color w:val="auto"/>
                <w:kern w:val="0"/>
                <w:szCs w:val="21"/>
              </w:rPr>
              <w:t>功能分区内各项设施的布置，应紧凑、合理。</w:t>
            </w:r>
          </w:p>
        </w:tc>
        <w:tc>
          <w:tcPr>
            <w:tcW w:w="934" w:type="pct"/>
            <w:noWrap w:val="0"/>
            <w:vAlign w:val="center"/>
          </w:tcPr>
          <w:p>
            <w:pPr>
              <w:wordWrap/>
              <w:topLinePunct w:val="0"/>
              <w:bidi w:val="0"/>
              <w:spacing w:line="240" w:lineRule="auto"/>
              <w:jc w:val="both"/>
              <w:textAlignment w:val="auto"/>
              <w:rPr>
                <w:rFonts w:hint="eastAsia" w:ascii="宋体" w:hAnsi="宋体"/>
                <w:color w:val="auto"/>
                <w:szCs w:val="21"/>
              </w:rPr>
            </w:pPr>
            <w:r>
              <w:rPr>
                <w:rFonts w:hint="eastAsia" w:ascii="宋体" w:hAnsi="宋体"/>
                <w:color w:val="auto"/>
                <w:szCs w:val="21"/>
              </w:rPr>
              <w:t>《工业企业总平面设计规范》GB50187-2012第5.1.2条；</w:t>
            </w:r>
          </w:p>
        </w:tc>
        <w:tc>
          <w:tcPr>
            <w:tcW w:w="795" w:type="pct"/>
            <w:noWrap w:val="0"/>
            <w:vAlign w:val="center"/>
          </w:tcPr>
          <w:p>
            <w:pPr>
              <w:wordWrap/>
              <w:topLinePunct w:val="0"/>
              <w:bidi w:val="0"/>
              <w:spacing w:line="240" w:lineRule="auto"/>
              <w:jc w:val="both"/>
              <w:textAlignment w:val="auto"/>
              <w:rPr>
                <w:rFonts w:hint="eastAsia" w:ascii="宋体" w:hAnsi="宋体"/>
                <w:color w:val="auto"/>
                <w:szCs w:val="21"/>
              </w:rPr>
            </w:pPr>
            <w:r>
              <w:rPr>
                <w:rFonts w:hint="eastAsia" w:ascii="宋体" w:hAnsi="宋体"/>
                <w:color w:val="auto"/>
                <w:szCs w:val="21"/>
              </w:rPr>
              <w:t>矿山总平面布置已按功能分区。</w:t>
            </w:r>
          </w:p>
        </w:tc>
        <w:tc>
          <w:tcPr>
            <w:tcW w:w="421" w:type="pct"/>
            <w:noWrap w:val="0"/>
            <w:vAlign w:val="center"/>
          </w:tcPr>
          <w:p>
            <w:pPr>
              <w:wordWrap/>
              <w:topLinePunct w:val="0"/>
              <w:bidi w:val="0"/>
              <w:adjustRightInd w:val="0"/>
              <w:snapToGrid w:val="0"/>
              <w:spacing w:line="240" w:lineRule="auto"/>
              <w:jc w:val="center"/>
              <w:textAlignment w:val="auto"/>
              <w:rPr>
                <w:rFonts w:ascii="宋体" w:hAnsi="宋体"/>
                <w:snapToGrid w:val="0"/>
                <w:color w:val="auto"/>
                <w:kern w:val="0"/>
                <w:szCs w:val="21"/>
              </w:rPr>
            </w:pPr>
            <w:r>
              <w:rPr>
                <w:rFonts w:ascii="宋体" w:hAnsi="宋体"/>
                <w:snapToGrid w:val="0"/>
                <w:color w:val="auto"/>
                <w:kern w:val="0"/>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6" w:hRule="atLeast"/>
          <w:jc w:val="center"/>
        </w:trPr>
        <w:tc>
          <w:tcPr>
            <w:tcW w:w="385" w:type="pct"/>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2</w:t>
            </w:r>
          </w:p>
        </w:tc>
        <w:tc>
          <w:tcPr>
            <w:tcW w:w="2462" w:type="pct"/>
            <w:noWrap w:val="0"/>
            <w:vAlign w:val="center"/>
          </w:tcPr>
          <w:p>
            <w:pPr>
              <w:wordWrap/>
              <w:topLinePunct w:val="0"/>
              <w:autoSpaceDE w:val="0"/>
              <w:autoSpaceDN w:val="0"/>
              <w:bidi w:val="0"/>
              <w:adjustRightInd w:val="0"/>
              <w:spacing w:line="240" w:lineRule="auto"/>
              <w:jc w:val="both"/>
              <w:textAlignment w:val="auto"/>
              <w:rPr>
                <w:rFonts w:ascii="宋体" w:hAnsi="宋体"/>
                <w:color w:val="auto"/>
                <w:szCs w:val="21"/>
              </w:rPr>
            </w:pPr>
            <w:r>
              <w:rPr>
                <w:rFonts w:ascii="宋体" w:hAnsi="宋体"/>
                <w:color w:val="auto"/>
                <w:szCs w:val="21"/>
              </w:rPr>
              <w:t>总平面布置，应充分利用地形、地势、工程地质及水文地质条件，布置建筑物、构筑物和有关设施，应减少土（石）方工程量和基础工程费用，并应符合下列要求：</w:t>
            </w:r>
          </w:p>
          <w:p>
            <w:pPr>
              <w:wordWrap/>
              <w:topLinePunct w:val="0"/>
              <w:autoSpaceDE w:val="0"/>
              <w:autoSpaceDN w:val="0"/>
              <w:bidi w:val="0"/>
              <w:adjustRightInd w:val="0"/>
              <w:spacing w:line="240" w:lineRule="auto"/>
              <w:jc w:val="both"/>
              <w:textAlignment w:val="auto"/>
              <w:rPr>
                <w:rFonts w:ascii="宋体" w:hAnsi="宋体"/>
                <w:color w:val="auto"/>
                <w:szCs w:val="21"/>
              </w:rPr>
            </w:pPr>
            <w:r>
              <w:rPr>
                <w:rFonts w:ascii="宋体" w:hAnsi="宋体"/>
                <w:color w:val="auto"/>
                <w:szCs w:val="21"/>
              </w:rPr>
              <w:t>1</w:t>
            </w:r>
            <w:r>
              <w:rPr>
                <w:rFonts w:hint="eastAsia" w:ascii="宋体" w:hAnsi="宋体"/>
                <w:color w:val="auto"/>
                <w:szCs w:val="21"/>
                <w:lang w:eastAsia="zh-CN"/>
              </w:rPr>
              <w:t>）</w:t>
            </w:r>
            <w:r>
              <w:rPr>
                <w:rFonts w:ascii="宋体" w:hAnsi="宋体"/>
                <w:color w:val="auto"/>
                <w:szCs w:val="21"/>
              </w:rPr>
              <w:t>当厂区地形坡度较大时，建筑物、构筑物的长轴宜顺等高线布置；</w:t>
            </w:r>
          </w:p>
          <w:p>
            <w:pPr>
              <w:wordWrap/>
              <w:topLinePunct w:val="0"/>
              <w:autoSpaceDE w:val="0"/>
              <w:autoSpaceDN w:val="0"/>
              <w:bidi w:val="0"/>
              <w:adjustRightInd w:val="0"/>
              <w:spacing w:line="240" w:lineRule="auto"/>
              <w:jc w:val="both"/>
              <w:textAlignment w:val="auto"/>
              <w:rPr>
                <w:rFonts w:ascii="宋体" w:hAnsi="宋体"/>
                <w:color w:val="auto"/>
                <w:szCs w:val="21"/>
              </w:rPr>
            </w:pPr>
            <w:r>
              <w:rPr>
                <w:rFonts w:ascii="宋体" w:hAnsi="宋体"/>
                <w:color w:val="auto"/>
                <w:szCs w:val="21"/>
              </w:rPr>
              <w:t>2</w:t>
            </w:r>
            <w:r>
              <w:rPr>
                <w:rFonts w:hint="eastAsia" w:ascii="宋体" w:hAnsi="宋体"/>
                <w:color w:val="auto"/>
                <w:szCs w:val="21"/>
                <w:lang w:eastAsia="zh-CN"/>
              </w:rPr>
              <w:t>）</w:t>
            </w:r>
            <w:r>
              <w:rPr>
                <w:rFonts w:ascii="宋体" w:hAnsi="宋体"/>
                <w:color w:val="auto"/>
                <w:szCs w:val="21"/>
              </w:rPr>
              <w:t>应结合地形及竖向设计，为物料采用自流管道及高站台、低货位等设施创造条件。</w:t>
            </w:r>
          </w:p>
        </w:tc>
        <w:tc>
          <w:tcPr>
            <w:tcW w:w="934" w:type="pct"/>
            <w:noWrap w:val="0"/>
            <w:vAlign w:val="center"/>
          </w:tcPr>
          <w:p>
            <w:pPr>
              <w:wordWrap/>
              <w:topLinePunct w:val="0"/>
              <w:bidi w:val="0"/>
              <w:adjustRightInd w:val="0"/>
              <w:snapToGrid w:val="0"/>
              <w:spacing w:line="240" w:lineRule="auto"/>
              <w:jc w:val="both"/>
              <w:textAlignment w:val="auto"/>
              <w:rPr>
                <w:rFonts w:ascii="宋体" w:hAnsi="宋体"/>
                <w:snapToGrid w:val="0"/>
                <w:color w:val="auto"/>
                <w:kern w:val="0"/>
                <w:szCs w:val="21"/>
              </w:rPr>
            </w:pPr>
            <w:r>
              <w:rPr>
                <w:rFonts w:hint="eastAsia" w:ascii="宋体" w:hAnsi="宋体"/>
                <w:color w:val="auto"/>
                <w:szCs w:val="21"/>
              </w:rPr>
              <w:t>《工业企业总平面设计规范》</w:t>
            </w:r>
            <w:r>
              <w:rPr>
                <w:rFonts w:ascii="宋体" w:hAnsi="宋体"/>
                <w:snapToGrid w:val="0"/>
                <w:color w:val="auto"/>
                <w:kern w:val="0"/>
                <w:szCs w:val="21"/>
              </w:rPr>
              <w:t>GB50187-2012</w:t>
            </w:r>
          </w:p>
          <w:p>
            <w:pPr>
              <w:wordWrap/>
              <w:topLinePunct w:val="0"/>
              <w:bidi w:val="0"/>
              <w:adjustRightInd w:val="0"/>
              <w:snapToGrid w:val="0"/>
              <w:spacing w:line="240" w:lineRule="auto"/>
              <w:jc w:val="both"/>
              <w:textAlignment w:val="auto"/>
              <w:rPr>
                <w:rFonts w:ascii="宋体" w:hAnsi="宋体"/>
                <w:snapToGrid w:val="0"/>
                <w:color w:val="auto"/>
                <w:kern w:val="0"/>
                <w:szCs w:val="21"/>
              </w:rPr>
            </w:pPr>
            <w:r>
              <w:rPr>
                <w:rFonts w:ascii="宋体" w:hAnsi="宋体"/>
                <w:snapToGrid w:val="0"/>
                <w:color w:val="auto"/>
                <w:kern w:val="0"/>
                <w:szCs w:val="21"/>
              </w:rPr>
              <w:t>第5.1.5条</w:t>
            </w:r>
          </w:p>
        </w:tc>
        <w:tc>
          <w:tcPr>
            <w:tcW w:w="795" w:type="pct"/>
            <w:noWrap w:val="0"/>
            <w:vAlign w:val="center"/>
          </w:tcPr>
          <w:p>
            <w:pPr>
              <w:wordWrap/>
              <w:topLinePunct w:val="0"/>
              <w:bidi w:val="0"/>
              <w:adjustRightInd w:val="0"/>
              <w:snapToGrid w:val="0"/>
              <w:spacing w:line="240" w:lineRule="auto"/>
              <w:jc w:val="both"/>
              <w:textAlignment w:val="auto"/>
              <w:rPr>
                <w:rFonts w:ascii="宋体" w:hAnsi="宋体"/>
                <w:snapToGrid w:val="0"/>
                <w:color w:val="auto"/>
                <w:kern w:val="0"/>
                <w:szCs w:val="21"/>
              </w:rPr>
            </w:pPr>
            <w:r>
              <w:rPr>
                <w:rFonts w:ascii="宋体" w:hAnsi="宋体"/>
                <w:snapToGrid w:val="0"/>
                <w:color w:val="auto"/>
                <w:kern w:val="0"/>
                <w:szCs w:val="21"/>
              </w:rPr>
              <w:t>矿山各构筑物布置基本合理，设计时充分考虑了地形条件</w:t>
            </w:r>
            <w:r>
              <w:rPr>
                <w:rFonts w:hint="eastAsia" w:ascii="宋体" w:hAnsi="宋体"/>
                <w:snapToGrid w:val="0"/>
                <w:color w:val="auto"/>
                <w:kern w:val="0"/>
                <w:szCs w:val="21"/>
              </w:rPr>
              <w:t>。</w:t>
            </w:r>
          </w:p>
        </w:tc>
        <w:tc>
          <w:tcPr>
            <w:tcW w:w="421" w:type="pct"/>
            <w:noWrap w:val="0"/>
            <w:vAlign w:val="center"/>
          </w:tcPr>
          <w:p>
            <w:pPr>
              <w:wordWrap/>
              <w:topLinePunct w:val="0"/>
              <w:bidi w:val="0"/>
              <w:adjustRightInd w:val="0"/>
              <w:snapToGrid w:val="0"/>
              <w:spacing w:line="240" w:lineRule="auto"/>
              <w:jc w:val="center"/>
              <w:textAlignment w:val="auto"/>
              <w:rPr>
                <w:rFonts w:ascii="宋体" w:hAnsi="宋体"/>
                <w:snapToGrid w:val="0"/>
                <w:color w:val="auto"/>
                <w:kern w:val="0"/>
                <w:szCs w:val="21"/>
              </w:rPr>
            </w:pPr>
            <w:r>
              <w:rPr>
                <w:rFonts w:ascii="宋体" w:hAnsi="宋体"/>
                <w:snapToGrid w:val="0"/>
                <w:color w:val="auto"/>
                <w:kern w:val="0"/>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9" w:hRule="atLeast"/>
          <w:jc w:val="center"/>
        </w:trPr>
        <w:tc>
          <w:tcPr>
            <w:tcW w:w="385" w:type="pct"/>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3</w:t>
            </w:r>
          </w:p>
        </w:tc>
        <w:tc>
          <w:tcPr>
            <w:tcW w:w="2462" w:type="pct"/>
            <w:noWrap w:val="0"/>
            <w:vAlign w:val="center"/>
          </w:tcPr>
          <w:p>
            <w:pPr>
              <w:wordWrap/>
              <w:topLinePunct w:val="0"/>
              <w:autoSpaceDE w:val="0"/>
              <w:autoSpaceDN w:val="0"/>
              <w:bidi w:val="0"/>
              <w:adjustRightInd w:val="0"/>
              <w:spacing w:line="240" w:lineRule="auto"/>
              <w:jc w:val="both"/>
              <w:textAlignment w:val="auto"/>
              <w:rPr>
                <w:rFonts w:ascii="宋体" w:hAnsi="宋体"/>
                <w:color w:val="auto"/>
                <w:szCs w:val="21"/>
              </w:rPr>
            </w:pPr>
            <w:r>
              <w:rPr>
                <w:rFonts w:ascii="宋体" w:hAnsi="宋体"/>
                <w:color w:val="auto"/>
                <w:szCs w:val="21"/>
              </w:rPr>
              <w:t>总平面布置应采取防止高温、有害气体、烟、雾、粉尘、强烈振动和高噪声对周围环境和人身安全的危害的安全保障措施，并应符合现行国家有关工业企业卫生设计标准的规定。</w:t>
            </w:r>
          </w:p>
        </w:tc>
        <w:tc>
          <w:tcPr>
            <w:tcW w:w="934" w:type="pct"/>
            <w:noWrap w:val="0"/>
            <w:vAlign w:val="center"/>
          </w:tcPr>
          <w:p>
            <w:pPr>
              <w:wordWrap/>
              <w:topLinePunct w:val="0"/>
              <w:bidi w:val="0"/>
              <w:adjustRightInd w:val="0"/>
              <w:snapToGrid w:val="0"/>
              <w:spacing w:line="240" w:lineRule="auto"/>
              <w:jc w:val="both"/>
              <w:textAlignment w:val="auto"/>
              <w:rPr>
                <w:rFonts w:ascii="宋体" w:hAnsi="宋体"/>
                <w:snapToGrid w:val="0"/>
                <w:color w:val="auto"/>
                <w:kern w:val="0"/>
                <w:szCs w:val="21"/>
              </w:rPr>
            </w:pPr>
            <w:r>
              <w:rPr>
                <w:rFonts w:hint="eastAsia" w:ascii="宋体" w:hAnsi="宋体"/>
                <w:color w:val="auto"/>
                <w:szCs w:val="21"/>
              </w:rPr>
              <w:t>《工业企业总平面设计规范》</w:t>
            </w:r>
            <w:r>
              <w:rPr>
                <w:rFonts w:ascii="宋体" w:hAnsi="宋体"/>
                <w:snapToGrid w:val="0"/>
                <w:color w:val="auto"/>
                <w:kern w:val="0"/>
                <w:szCs w:val="21"/>
              </w:rPr>
              <w:t>GB50187-2012</w:t>
            </w:r>
          </w:p>
          <w:p>
            <w:pPr>
              <w:wordWrap/>
              <w:topLinePunct w:val="0"/>
              <w:bidi w:val="0"/>
              <w:adjustRightInd w:val="0"/>
              <w:snapToGrid w:val="0"/>
              <w:spacing w:line="240" w:lineRule="auto"/>
              <w:jc w:val="both"/>
              <w:textAlignment w:val="auto"/>
              <w:rPr>
                <w:rFonts w:ascii="宋体" w:hAnsi="宋体"/>
                <w:snapToGrid w:val="0"/>
                <w:color w:val="auto"/>
                <w:kern w:val="0"/>
                <w:szCs w:val="21"/>
              </w:rPr>
            </w:pPr>
            <w:r>
              <w:rPr>
                <w:rFonts w:ascii="宋体" w:hAnsi="宋体"/>
                <w:snapToGrid w:val="0"/>
                <w:color w:val="auto"/>
                <w:kern w:val="0"/>
                <w:szCs w:val="21"/>
              </w:rPr>
              <w:t>第5.1.7条</w:t>
            </w:r>
          </w:p>
        </w:tc>
        <w:tc>
          <w:tcPr>
            <w:tcW w:w="795" w:type="pct"/>
            <w:noWrap w:val="0"/>
            <w:vAlign w:val="center"/>
          </w:tcPr>
          <w:p>
            <w:pPr>
              <w:wordWrap/>
              <w:topLinePunct w:val="0"/>
              <w:bidi w:val="0"/>
              <w:adjustRightInd w:val="0"/>
              <w:snapToGrid w:val="0"/>
              <w:spacing w:line="240" w:lineRule="auto"/>
              <w:jc w:val="both"/>
              <w:textAlignment w:val="auto"/>
              <w:rPr>
                <w:rFonts w:ascii="宋体" w:hAnsi="宋体"/>
                <w:snapToGrid w:val="0"/>
                <w:color w:val="auto"/>
                <w:kern w:val="0"/>
                <w:szCs w:val="21"/>
              </w:rPr>
            </w:pPr>
            <w:r>
              <w:rPr>
                <w:rFonts w:ascii="宋体" w:hAnsi="宋体"/>
                <w:snapToGrid w:val="0"/>
                <w:color w:val="auto"/>
                <w:kern w:val="0"/>
                <w:szCs w:val="21"/>
              </w:rPr>
              <w:t>矿山主要产尘点均为露天布置</w:t>
            </w:r>
            <w:r>
              <w:rPr>
                <w:rFonts w:hint="eastAsia" w:ascii="宋体" w:hAnsi="宋体"/>
                <w:snapToGrid w:val="0"/>
                <w:color w:val="auto"/>
                <w:kern w:val="0"/>
                <w:szCs w:val="21"/>
              </w:rPr>
              <w:t>，对产尘作业场所采取洒水降尘措施。</w:t>
            </w:r>
          </w:p>
        </w:tc>
        <w:tc>
          <w:tcPr>
            <w:tcW w:w="421" w:type="pct"/>
            <w:noWrap w:val="0"/>
            <w:vAlign w:val="center"/>
          </w:tcPr>
          <w:p>
            <w:pPr>
              <w:wordWrap/>
              <w:topLinePunct w:val="0"/>
              <w:bidi w:val="0"/>
              <w:adjustRightInd w:val="0"/>
              <w:snapToGrid w:val="0"/>
              <w:spacing w:line="240" w:lineRule="auto"/>
              <w:jc w:val="center"/>
              <w:textAlignment w:val="auto"/>
              <w:rPr>
                <w:rFonts w:ascii="宋体" w:hAnsi="宋体"/>
                <w:snapToGrid w:val="0"/>
                <w:color w:val="auto"/>
                <w:kern w:val="0"/>
                <w:szCs w:val="21"/>
              </w:rPr>
            </w:pPr>
            <w:r>
              <w:rPr>
                <w:rFonts w:ascii="宋体" w:hAnsi="宋体"/>
                <w:snapToGrid w:val="0"/>
                <w:color w:val="auto"/>
                <w:kern w:val="0"/>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9" w:hRule="atLeast"/>
          <w:jc w:val="center"/>
        </w:trPr>
        <w:tc>
          <w:tcPr>
            <w:tcW w:w="385" w:type="pct"/>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4</w:t>
            </w:r>
          </w:p>
        </w:tc>
        <w:tc>
          <w:tcPr>
            <w:tcW w:w="2462" w:type="pct"/>
            <w:noWrap w:val="0"/>
            <w:vAlign w:val="center"/>
          </w:tcPr>
          <w:p>
            <w:pPr>
              <w:wordWrap/>
              <w:topLinePunct w:val="0"/>
              <w:autoSpaceDE w:val="0"/>
              <w:autoSpaceDN w:val="0"/>
              <w:bidi w:val="0"/>
              <w:adjustRightInd w:val="0"/>
              <w:spacing w:line="240" w:lineRule="auto"/>
              <w:jc w:val="both"/>
              <w:textAlignment w:val="auto"/>
              <w:rPr>
                <w:rFonts w:ascii="宋体" w:hAnsi="宋体"/>
                <w:color w:val="auto"/>
                <w:szCs w:val="21"/>
              </w:rPr>
            </w:pPr>
            <w:r>
              <w:rPr>
                <w:rFonts w:ascii="宋体" w:hAnsi="宋体"/>
                <w:color w:val="auto"/>
                <w:szCs w:val="21"/>
              </w:rPr>
              <w:t>产生高温、有害气体、烟、雾、粉尘的生产设施，应布置在厂区全年最小频率风向的上风侧且地势开阔、通风条件良好的地段，并不应采用封闭式或半封闭式的布置形式。产生高温的生产设施的长轴，宜与夏季盛行风向垂直或呈不小于45°交角布置。</w:t>
            </w:r>
          </w:p>
        </w:tc>
        <w:tc>
          <w:tcPr>
            <w:tcW w:w="934" w:type="pct"/>
            <w:noWrap w:val="0"/>
            <w:vAlign w:val="center"/>
          </w:tcPr>
          <w:p>
            <w:pPr>
              <w:wordWrap/>
              <w:topLinePunct w:val="0"/>
              <w:bidi w:val="0"/>
              <w:adjustRightInd w:val="0"/>
              <w:snapToGrid w:val="0"/>
              <w:spacing w:line="240" w:lineRule="auto"/>
              <w:jc w:val="both"/>
              <w:textAlignment w:val="auto"/>
              <w:rPr>
                <w:rFonts w:ascii="宋体" w:hAnsi="宋体"/>
                <w:snapToGrid w:val="0"/>
                <w:color w:val="auto"/>
                <w:kern w:val="0"/>
                <w:szCs w:val="21"/>
              </w:rPr>
            </w:pPr>
            <w:r>
              <w:rPr>
                <w:rFonts w:hint="eastAsia" w:ascii="宋体" w:hAnsi="宋体"/>
                <w:color w:val="auto"/>
                <w:szCs w:val="21"/>
              </w:rPr>
              <w:t>《工业企业总平面设计规范》</w:t>
            </w:r>
            <w:r>
              <w:rPr>
                <w:rFonts w:ascii="宋体" w:hAnsi="宋体"/>
                <w:snapToGrid w:val="0"/>
                <w:color w:val="auto"/>
                <w:kern w:val="0"/>
                <w:szCs w:val="21"/>
              </w:rPr>
              <w:t>GB50187-2012</w:t>
            </w:r>
          </w:p>
          <w:p>
            <w:pPr>
              <w:wordWrap/>
              <w:topLinePunct w:val="0"/>
              <w:bidi w:val="0"/>
              <w:adjustRightInd w:val="0"/>
              <w:snapToGrid w:val="0"/>
              <w:spacing w:line="240" w:lineRule="auto"/>
              <w:jc w:val="both"/>
              <w:textAlignment w:val="auto"/>
              <w:rPr>
                <w:rFonts w:ascii="宋体" w:hAnsi="宋体"/>
                <w:snapToGrid w:val="0"/>
                <w:color w:val="auto"/>
                <w:kern w:val="0"/>
                <w:szCs w:val="21"/>
              </w:rPr>
            </w:pPr>
            <w:r>
              <w:rPr>
                <w:rFonts w:ascii="宋体" w:hAnsi="宋体"/>
                <w:snapToGrid w:val="0"/>
                <w:color w:val="auto"/>
                <w:kern w:val="0"/>
                <w:szCs w:val="21"/>
              </w:rPr>
              <w:t>第5.2.3条</w:t>
            </w:r>
          </w:p>
        </w:tc>
        <w:tc>
          <w:tcPr>
            <w:tcW w:w="795" w:type="pct"/>
            <w:noWrap w:val="0"/>
            <w:vAlign w:val="center"/>
          </w:tcPr>
          <w:p>
            <w:pPr>
              <w:wordWrap/>
              <w:topLinePunct w:val="0"/>
              <w:bidi w:val="0"/>
              <w:adjustRightInd w:val="0"/>
              <w:snapToGrid w:val="0"/>
              <w:spacing w:line="240" w:lineRule="auto"/>
              <w:jc w:val="both"/>
              <w:textAlignment w:val="auto"/>
              <w:rPr>
                <w:rFonts w:ascii="宋体" w:hAnsi="宋体"/>
                <w:snapToGrid w:val="0"/>
                <w:color w:val="auto"/>
                <w:kern w:val="0"/>
                <w:szCs w:val="21"/>
              </w:rPr>
            </w:pPr>
            <w:r>
              <w:rPr>
                <w:bCs/>
                <w:sz w:val="21"/>
                <w:szCs w:val="21"/>
              </w:rPr>
              <w:t>矿山主要产尘部位为采场</w:t>
            </w:r>
            <w:r>
              <w:rPr>
                <w:rFonts w:hint="eastAsia"/>
                <w:bCs/>
                <w:sz w:val="21"/>
                <w:szCs w:val="21"/>
              </w:rPr>
              <w:t>、加工区，</w:t>
            </w:r>
            <w:r>
              <w:rPr>
                <w:bCs/>
                <w:sz w:val="21"/>
                <w:szCs w:val="21"/>
              </w:rPr>
              <w:t>均布置在通风良好地段。</w:t>
            </w:r>
          </w:p>
        </w:tc>
        <w:tc>
          <w:tcPr>
            <w:tcW w:w="421" w:type="pct"/>
            <w:noWrap w:val="0"/>
            <w:vAlign w:val="center"/>
          </w:tcPr>
          <w:p>
            <w:pPr>
              <w:wordWrap/>
              <w:topLinePunct w:val="0"/>
              <w:bidi w:val="0"/>
              <w:adjustRightInd w:val="0"/>
              <w:snapToGrid w:val="0"/>
              <w:spacing w:line="240" w:lineRule="auto"/>
              <w:jc w:val="center"/>
              <w:textAlignment w:val="auto"/>
              <w:rPr>
                <w:rFonts w:ascii="宋体" w:hAnsi="宋体"/>
                <w:snapToGrid w:val="0"/>
                <w:color w:val="auto"/>
                <w:kern w:val="0"/>
                <w:szCs w:val="21"/>
              </w:rPr>
            </w:pPr>
            <w:r>
              <w:rPr>
                <w:rFonts w:ascii="宋体" w:hAnsi="宋体"/>
                <w:snapToGrid w:val="0"/>
                <w:color w:val="auto"/>
                <w:kern w:val="0"/>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7" w:hRule="atLeast"/>
          <w:jc w:val="center"/>
        </w:trPr>
        <w:tc>
          <w:tcPr>
            <w:tcW w:w="385" w:type="pct"/>
            <w:noWrap w:val="0"/>
            <w:vAlign w:val="center"/>
          </w:tcPr>
          <w:p>
            <w:pPr>
              <w:tabs>
                <w:tab w:val="center" w:pos="167"/>
              </w:tabs>
              <w:wordWrap/>
              <w:topLinePunct w:val="0"/>
              <w:bidi w:val="0"/>
              <w:adjustRightInd w:val="0"/>
              <w:snapToGrid w:val="0"/>
              <w:spacing w:line="240" w:lineRule="auto"/>
              <w:ind w:firstLine="210" w:firstLineChars="100"/>
              <w:textAlignment w:val="auto"/>
              <w:rPr>
                <w:rFonts w:ascii="宋体" w:hAnsi="宋体"/>
                <w:snapToGrid w:val="0"/>
                <w:color w:val="auto"/>
                <w:kern w:val="0"/>
                <w:szCs w:val="21"/>
              </w:rPr>
            </w:pPr>
            <w:r>
              <w:rPr>
                <w:rFonts w:hint="eastAsia" w:ascii="宋体" w:hAnsi="宋体"/>
                <w:snapToGrid w:val="0"/>
                <w:color w:val="auto"/>
                <w:kern w:val="0"/>
                <w:szCs w:val="21"/>
              </w:rPr>
              <w:t>5</w:t>
            </w:r>
          </w:p>
        </w:tc>
        <w:tc>
          <w:tcPr>
            <w:tcW w:w="2462" w:type="pct"/>
            <w:noWrap w:val="0"/>
            <w:vAlign w:val="center"/>
          </w:tcPr>
          <w:p>
            <w:pPr>
              <w:wordWrap/>
              <w:topLinePunct w:val="0"/>
              <w:autoSpaceDE w:val="0"/>
              <w:autoSpaceDN w:val="0"/>
              <w:bidi w:val="0"/>
              <w:adjustRightInd w:val="0"/>
              <w:spacing w:line="240" w:lineRule="auto"/>
              <w:jc w:val="both"/>
              <w:textAlignment w:val="auto"/>
              <w:rPr>
                <w:rFonts w:ascii="宋体" w:hAnsi="宋体"/>
                <w:color w:val="auto"/>
                <w:szCs w:val="21"/>
              </w:rPr>
            </w:pPr>
            <w:r>
              <w:rPr>
                <w:rFonts w:ascii="宋体" w:hAnsi="宋体"/>
                <w:color w:val="auto"/>
                <w:szCs w:val="21"/>
              </w:rPr>
              <w:t>矿山用电铲、钎凿设备等检修设施，宜靠近露天采矿场或井（硐）口布置，并应有必要的露天检修和备件堆放场地。</w:t>
            </w:r>
          </w:p>
        </w:tc>
        <w:tc>
          <w:tcPr>
            <w:tcW w:w="934" w:type="pct"/>
            <w:noWrap w:val="0"/>
            <w:vAlign w:val="center"/>
          </w:tcPr>
          <w:p>
            <w:pPr>
              <w:wordWrap/>
              <w:topLinePunct w:val="0"/>
              <w:bidi w:val="0"/>
              <w:spacing w:line="240" w:lineRule="auto"/>
              <w:jc w:val="both"/>
              <w:textAlignment w:val="auto"/>
              <w:rPr>
                <w:rFonts w:ascii="宋体" w:hAnsi="宋体"/>
                <w:color w:val="auto"/>
                <w:szCs w:val="21"/>
              </w:rPr>
            </w:pPr>
            <w:r>
              <w:rPr>
                <w:rFonts w:hint="eastAsia" w:ascii="宋体" w:hAnsi="宋体"/>
                <w:color w:val="auto"/>
                <w:szCs w:val="21"/>
              </w:rPr>
              <w:t>《工业企业总平面设计规范》</w:t>
            </w:r>
            <w:r>
              <w:rPr>
                <w:rFonts w:ascii="宋体" w:hAnsi="宋体"/>
                <w:color w:val="auto"/>
                <w:szCs w:val="21"/>
              </w:rPr>
              <w:t>GB50187-2012</w:t>
            </w:r>
          </w:p>
          <w:p>
            <w:pPr>
              <w:wordWrap/>
              <w:topLinePunct w:val="0"/>
              <w:bidi w:val="0"/>
              <w:spacing w:line="240" w:lineRule="auto"/>
              <w:jc w:val="both"/>
              <w:textAlignment w:val="auto"/>
              <w:rPr>
                <w:rFonts w:ascii="宋体" w:hAnsi="宋体"/>
                <w:color w:val="auto"/>
                <w:szCs w:val="21"/>
              </w:rPr>
            </w:pPr>
            <w:r>
              <w:rPr>
                <w:rFonts w:ascii="宋体" w:hAnsi="宋体"/>
                <w:color w:val="auto"/>
                <w:szCs w:val="21"/>
              </w:rPr>
              <w:t>第5.4.7条</w:t>
            </w:r>
          </w:p>
        </w:tc>
        <w:tc>
          <w:tcPr>
            <w:tcW w:w="795" w:type="pct"/>
            <w:noWrap w:val="0"/>
            <w:vAlign w:val="center"/>
          </w:tcPr>
          <w:p>
            <w:pPr>
              <w:wordWrap/>
              <w:topLinePunct w:val="0"/>
              <w:bidi w:val="0"/>
              <w:adjustRightInd w:val="0"/>
              <w:snapToGrid w:val="0"/>
              <w:spacing w:line="240" w:lineRule="auto"/>
              <w:jc w:val="both"/>
              <w:textAlignment w:val="auto"/>
              <w:rPr>
                <w:rFonts w:ascii="宋体" w:hAnsi="宋体"/>
                <w:snapToGrid w:val="0"/>
                <w:color w:val="auto"/>
                <w:kern w:val="0"/>
                <w:szCs w:val="21"/>
              </w:rPr>
            </w:pPr>
            <w:r>
              <w:rPr>
                <w:bCs/>
                <w:sz w:val="21"/>
                <w:szCs w:val="21"/>
              </w:rPr>
              <w:t>矿山简易机修车间位于</w:t>
            </w:r>
            <w:r>
              <w:rPr>
                <w:rFonts w:hint="eastAsia"/>
                <w:bCs/>
                <w:sz w:val="21"/>
                <w:szCs w:val="21"/>
              </w:rPr>
              <w:t>工业场地内。</w:t>
            </w:r>
          </w:p>
        </w:tc>
        <w:tc>
          <w:tcPr>
            <w:tcW w:w="421" w:type="pct"/>
            <w:noWrap w:val="0"/>
            <w:vAlign w:val="center"/>
          </w:tcPr>
          <w:p>
            <w:pPr>
              <w:wordWrap/>
              <w:topLinePunct w:val="0"/>
              <w:bidi w:val="0"/>
              <w:adjustRightInd w:val="0"/>
              <w:snapToGrid w:val="0"/>
              <w:spacing w:line="240" w:lineRule="auto"/>
              <w:jc w:val="both"/>
              <w:textAlignment w:val="auto"/>
              <w:rPr>
                <w:rFonts w:ascii="宋体" w:hAnsi="宋体"/>
                <w:snapToGrid w:val="0"/>
                <w:color w:val="auto"/>
                <w:kern w:val="0"/>
                <w:szCs w:val="21"/>
              </w:rPr>
            </w:pPr>
            <w:r>
              <w:rPr>
                <w:rFonts w:ascii="宋体" w:hAnsi="宋体"/>
                <w:snapToGrid w:val="0"/>
                <w:color w:val="auto"/>
                <w:kern w:val="0"/>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2" w:hRule="atLeast"/>
          <w:jc w:val="center"/>
        </w:trPr>
        <w:tc>
          <w:tcPr>
            <w:tcW w:w="385" w:type="pct"/>
            <w:noWrap w:val="0"/>
            <w:vAlign w:val="center"/>
          </w:tcPr>
          <w:p>
            <w:pPr>
              <w:tabs>
                <w:tab w:val="center" w:pos="167"/>
              </w:tabs>
              <w:wordWrap/>
              <w:topLinePunct w:val="0"/>
              <w:bidi w:val="0"/>
              <w:adjustRightInd w:val="0"/>
              <w:snapToGrid w:val="0"/>
              <w:spacing w:before="221" w:beforeLines="70" w:line="240" w:lineRule="auto"/>
              <w:ind w:firstLine="210" w:firstLineChars="100"/>
              <w:textAlignment w:val="auto"/>
              <w:rPr>
                <w:rFonts w:ascii="宋体" w:hAnsi="宋体"/>
                <w:snapToGrid w:val="0"/>
                <w:color w:val="auto"/>
                <w:kern w:val="0"/>
                <w:szCs w:val="21"/>
              </w:rPr>
            </w:pPr>
            <w:r>
              <w:rPr>
                <w:rFonts w:hint="eastAsia" w:ascii="宋体" w:hAnsi="宋体"/>
                <w:snapToGrid w:val="0"/>
                <w:color w:val="auto"/>
                <w:kern w:val="0"/>
                <w:szCs w:val="21"/>
              </w:rPr>
              <w:t>6</w:t>
            </w:r>
          </w:p>
        </w:tc>
        <w:tc>
          <w:tcPr>
            <w:tcW w:w="2462" w:type="pct"/>
            <w:noWrap w:val="0"/>
            <w:vAlign w:val="center"/>
          </w:tcPr>
          <w:p>
            <w:pPr>
              <w:wordWrap/>
              <w:topLinePunct w:val="0"/>
              <w:bidi w:val="0"/>
              <w:spacing w:line="240" w:lineRule="auto"/>
              <w:jc w:val="both"/>
              <w:textAlignment w:val="auto"/>
              <w:rPr>
                <w:rFonts w:ascii="宋体" w:hAnsi="宋体"/>
                <w:color w:val="auto"/>
                <w:kern w:val="0"/>
                <w:szCs w:val="21"/>
              </w:rPr>
            </w:pPr>
            <w:r>
              <w:rPr>
                <w:rFonts w:ascii="宋体" w:hAnsi="宋体"/>
                <w:color w:val="auto"/>
                <w:kern w:val="0"/>
                <w:szCs w:val="21"/>
              </w:rPr>
              <w:t>厂矿道路设计，应适合厂矿企业生产（包括检修、安装）和</w:t>
            </w:r>
            <w:r>
              <w:rPr>
                <w:rFonts w:hint="eastAsia" w:ascii="宋体" w:hAnsi="宋体"/>
                <w:color w:val="auto"/>
                <w:kern w:val="0"/>
                <w:szCs w:val="21"/>
              </w:rPr>
              <w:t>其他</w:t>
            </w:r>
            <w:r>
              <w:rPr>
                <w:rFonts w:ascii="宋体" w:hAnsi="宋体"/>
                <w:color w:val="auto"/>
                <w:kern w:val="0"/>
                <w:szCs w:val="21"/>
              </w:rPr>
              <w:t>交通运输的需要。对厂矿基本建设期间的超限货物（大件、重件）运输，可根据具体情况，予以适当考虑。</w:t>
            </w:r>
          </w:p>
          <w:p>
            <w:pPr>
              <w:wordWrap/>
              <w:topLinePunct w:val="0"/>
              <w:bidi w:val="0"/>
              <w:spacing w:line="240" w:lineRule="auto"/>
              <w:jc w:val="both"/>
              <w:textAlignment w:val="auto"/>
              <w:rPr>
                <w:rFonts w:ascii="宋体" w:hAnsi="宋体"/>
                <w:color w:val="auto"/>
                <w:szCs w:val="21"/>
              </w:rPr>
            </w:pPr>
            <w:r>
              <w:rPr>
                <w:rFonts w:ascii="宋体" w:hAnsi="宋体"/>
                <w:color w:val="auto"/>
                <w:kern w:val="0"/>
                <w:szCs w:val="21"/>
              </w:rPr>
              <w:t>厂矿道路路线设计，应符合厂矿企业总体规划或总平面布置的要求，并应根据道路性质和使用要求，合理利用地形，正确运用技术指标。</w:t>
            </w:r>
          </w:p>
        </w:tc>
        <w:tc>
          <w:tcPr>
            <w:tcW w:w="934" w:type="pct"/>
            <w:noWrap w:val="0"/>
            <w:vAlign w:val="center"/>
          </w:tcPr>
          <w:p>
            <w:pPr>
              <w:wordWrap/>
              <w:topLinePunct w:val="0"/>
              <w:bidi w:val="0"/>
              <w:spacing w:before="168" w:line="240" w:lineRule="auto"/>
              <w:jc w:val="both"/>
              <w:textAlignment w:val="auto"/>
              <w:rPr>
                <w:rFonts w:ascii="宋体" w:hAnsi="宋体"/>
                <w:color w:val="auto"/>
                <w:szCs w:val="21"/>
              </w:rPr>
            </w:pPr>
            <w:r>
              <w:rPr>
                <w:rFonts w:hint="eastAsia" w:ascii="宋体" w:hAnsi="宋体"/>
                <w:color w:val="auto"/>
                <w:szCs w:val="21"/>
              </w:rPr>
              <w:t>《工业企业总平面设计规范》</w:t>
            </w:r>
            <w:r>
              <w:rPr>
                <w:rFonts w:ascii="宋体" w:hAnsi="宋体"/>
                <w:color w:val="auto"/>
                <w:szCs w:val="21"/>
              </w:rPr>
              <w:t>GBJ22-87</w:t>
            </w:r>
          </w:p>
          <w:p>
            <w:pPr>
              <w:wordWrap/>
              <w:topLinePunct w:val="0"/>
              <w:bidi w:val="0"/>
              <w:spacing w:before="168" w:line="240" w:lineRule="auto"/>
              <w:jc w:val="both"/>
              <w:textAlignment w:val="auto"/>
              <w:rPr>
                <w:rFonts w:ascii="宋体" w:hAnsi="宋体"/>
                <w:color w:val="auto"/>
                <w:szCs w:val="21"/>
              </w:rPr>
            </w:pPr>
            <w:r>
              <w:rPr>
                <w:rFonts w:ascii="宋体" w:hAnsi="宋体"/>
                <w:color w:val="auto"/>
                <w:szCs w:val="21"/>
              </w:rPr>
              <w:t>第1.0.5条</w:t>
            </w:r>
          </w:p>
        </w:tc>
        <w:tc>
          <w:tcPr>
            <w:tcW w:w="795" w:type="pct"/>
            <w:noWrap w:val="0"/>
            <w:vAlign w:val="center"/>
          </w:tcPr>
          <w:p>
            <w:pPr>
              <w:wordWrap/>
              <w:topLinePunct w:val="0"/>
              <w:bidi w:val="0"/>
              <w:adjustRightInd w:val="0"/>
              <w:snapToGrid w:val="0"/>
              <w:spacing w:before="168" w:line="240" w:lineRule="auto"/>
              <w:jc w:val="both"/>
              <w:textAlignment w:val="auto"/>
              <w:rPr>
                <w:rFonts w:ascii="宋体" w:hAnsi="宋体"/>
                <w:snapToGrid w:val="0"/>
                <w:color w:val="auto"/>
                <w:kern w:val="0"/>
                <w:szCs w:val="21"/>
              </w:rPr>
            </w:pPr>
            <w:r>
              <w:rPr>
                <w:bCs/>
                <w:sz w:val="21"/>
                <w:szCs w:val="21"/>
              </w:rPr>
              <w:t>矿山厂内道路已形成，已连通生活区、采场等地</w:t>
            </w:r>
            <w:r>
              <w:rPr>
                <w:rFonts w:hint="eastAsia"/>
                <w:bCs/>
                <w:sz w:val="21"/>
                <w:szCs w:val="21"/>
              </w:rPr>
              <w:t>。</w:t>
            </w:r>
          </w:p>
        </w:tc>
        <w:tc>
          <w:tcPr>
            <w:tcW w:w="421" w:type="pct"/>
            <w:noWrap w:val="0"/>
            <w:vAlign w:val="center"/>
          </w:tcPr>
          <w:p>
            <w:pPr>
              <w:wordWrap/>
              <w:topLinePunct w:val="0"/>
              <w:bidi w:val="0"/>
              <w:adjustRightInd w:val="0"/>
              <w:snapToGrid w:val="0"/>
              <w:spacing w:before="168" w:line="240" w:lineRule="auto"/>
              <w:jc w:val="both"/>
              <w:textAlignment w:val="auto"/>
              <w:rPr>
                <w:rFonts w:ascii="宋体" w:hAnsi="宋体"/>
                <w:snapToGrid w:val="0"/>
                <w:color w:val="auto"/>
                <w:kern w:val="0"/>
                <w:szCs w:val="21"/>
              </w:rPr>
            </w:pPr>
            <w:r>
              <w:rPr>
                <w:rFonts w:ascii="宋体" w:hAnsi="宋体"/>
                <w:snapToGrid w:val="0"/>
                <w:color w:val="auto"/>
                <w:kern w:val="0"/>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4" w:hRule="atLeast"/>
          <w:jc w:val="center"/>
        </w:trPr>
        <w:tc>
          <w:tcPr>
            <w:tcW w:w="385" w:type="pct"/>
            <w:noWrap w:val="0"/>
            <w:vAlign w:val="center"/>
          </w:tcPr>
          <w:p>
            <w:pPr>
              <w:tabs>
                <w:tab w:val="center" w:pos="167"/>
              </w:tabs>
              <w:wordWrap/>
              <w:topLinePunct w:val="0"/>
              <w:bidi w:val="0"/>
              <w:adjustRightInd w:val="0"/>
              <w:snapToGrid w:val="0"/>
              <w:spacing w:before="221" w:beforeLines="70" w:line="240" w:lineRule="auto"/>
              <w:ind w:firstLine="210" w:firstLineChars="100"/>
              <w:textAlignment w:val="auto"/>
              <w:rPr>
                <w:rFonts w:hint="eastAsia" w:ascii="宋体" w:hAnsi="宋体"/>
                <w:snapToGrid w:val="0"/>
                <w:color w:val="auto"/>
                <w:kern w:val="0"/>
                <w:szCs w:val="21"/>
              </w:rPr>
            </w:pPr>
            <w:r>
              <w:rPr>
                <w:rFonts w:hint="eastAsia" w:ascii="宋体" w:hAnsi="宋体"/>
                <w:snapToGrid w:val="0"/>
                <w:color w:val="auto"/>
                <w:kern w:val="0"/>
                <w:szCs w:val="21"/>
              </w:rPr>
              <w:t>7</w:t>
            </w:r>
          </w:p>
        </w:tc>
        <w:tc>
          <w:tcPr>
            <w:tcW w:w="2462" w:type="pct"/>
            <w:noWrap w:val="0"/>
            <w:vAlign w:val="center"/>
          </w:tcPr>
          <w:p>
            <w:pPr>
              <w:wordWrap/>
              <w:topLinePunct w:val="0"/>
              <w:bidi w:val="0"/>
              <w:spacing w:line="240" w:lineRule="auto"/>
              <w:jc w:val="both"/>
              <w:textAlignment w:val="auto"/>
              <w:rPr>
                <w:rFonts w:ascii="宋体" w:hAnsi="宋体"/>
                <w:color w:val="auto"/>
                <w:kern w:val="0"/>
                <w:szCs w:val="21"/>
              </w:rPr>
            </w:pPr>
            <w:r>
              <w:rPr>
                <w:rFonts w:ascii="宋体" w:hAnsi="宋体"/>
                <w:color w:val="auto"/>
                <w:szCs w:val="21"/>
                <w:shd w:val="clear" w:color="auto" w:fill="FFFFFF"/>
              </w:rPr>
              <w:t>矿山企业的办公区、生活区、工业场地、地面建筑等，不应设在危崖、塌陷区、崩落区，不应设在受尘毒、污风影响区域内，不应受洪水、泥石流、爆破威胁。</w:t>
            </w:r>
          </w:p>
        </w:tc>
        <w:tc>
          <w:tcPr>
            <w:tcW w:w="934" w:type="pct"/>
            <w:noWrap w:val="0"/>
            <w:vAlign w:val="center"/>
          </w:tcPr>
          <w:p>
            <w:pPr>
              <w:wordWrap/>
              <w:topLinePunct w:val="0"/>
              <w:bidi w:val="0"/>
              <w:adjustRightInd w:val="0"/>
              <w:snapToGrid w:val="0"/>
              <w:spacing w:line="240" w:lineRule="auto"/>
              <w:jc w:val="both"/>
              <w:textAlignment w:val="auto"/>
              <w:rPr>
                <w:rFonts w:hint="eastAsia" w:ascii="宋体" w:hAnsi="宋体"/>
                <w:color w:val="auto"/>
                <w:spacing w:val="4"/>
                <w:kern w:val="10"/>
                <w:position w:val="2"/>
                <w:szCs w:val="21"/>
              </w:rPr>
            </w:pPr>
            <w:r>
              <w:rPr>
                <w:rFonts w:ascii="宋体" w:hAnsi="宋体"/>
                <w:color w:val="auto"/>
                <w:spacing w:val="4"/>
                <w:kern w:val="10"/>
                <w:position w:val="2"/>
                <w:szCs w:val="21"/>
              </w:rPr>
              <w:t>《金属非金属矿山安全规程》</w:t>
            </w:r>
          </w:p>
          <w:p>
            <w:pPr>
              <w:wordWrap/>
              <w:topLinePunct w:val="0"/>
              <w:bidi w:val="0"/>
              <w:spacing w:before="168" w:line="240" w:lineRule="auto"/>
              <w:jc w:val="both"/>
              <w:textAlignment w:val="auto"/>
              <w:rPr>
                <w:rFonts w:hint="eastAsia" w:ascii="宋体" w:hAnsi="宋体"/>
                <w:color w:val="auto"/>
                <w:szCs w:val="21"/>
              </w:rPr>
            </w:pPr>
            <w:r>
              <w:rPr>
                <w:rFonts w:hint="eastAsia" w:ascii="宋体" w:hAnsi="宋体"/>
                <w:color w:val="auto"/>
                <w:spacing w:val="4"/>
                <w:kern w:val="10"/>
                <w:position w:val="2"/>
                <w:szCs w:val="21"/>
              </w:rPr>
              <w:t>（GB16423-2020）</w:t>
            </w:r>
            <w:r>
              <w:rPr>
                <w:rFonts w:ascii="宋体" w:hAnsi="宋体"/>
                <w:color w:val="auto"/>
                <w:szCs w:val="21"/>
              </w:rPr>
              <w:t>第</w:t>
            </w:r>
            <w:r>
              <w:rPr>
                <w:rFonts w:hint="eastAsia" w:ascii="宋体" w:hAnsi="宋体"/>
                <w:color w:val="auto"/>
                <w:szCs w:val="21"/>
              </w:rPr>
              <w:t>4</w:t>
            </w:r>
            <w:r>
              <w:rPr>
                <w:rFonts w:ascii="宋体" w:hAnsi="宋体"/>
                <w:color w:val="auto"/>
                <w:szCs w:val="21"/>
              </w:rPr>
              <w:t>.</w:t>
            </w:r>
            <w:r>
              <w:rPr>
                <w:rFonts w:hint="eastAsia" w:ascii="宋体" w:hAnsi="宋体"/>
                <w:color w:val="auto"/>
                <w:szCs w:val="21"/>
              </w:rPr>
              <w:t>6</w:t>
            </w:r>
            <w:r>
              <w:rPr>
                <w:rFonts w:ascii="宋体" w:hAnsi="宋体"/>
                <w:color w:val="auto"/>
                <w:szCs w:val="21"/>
              </w:rPr>
              <w:t>.</w:t>
            </w:r>
            <w:r>
              <w:rPr>
                <w:rFonts w:hint="eastAsia" w:ascii="宋体" w:hAnsi="宋体"/>
                <w:color w:val="auto"/>
                <w:szCs w:val="21"/>
              </w:rPr>
              <w:t>1</w:t>
            </w:r>
            <w:r>
              <w:rPr>
                <w:rFonts w:ascii="宋体" w:hAnsi="宋体"/>
                <w:color w:val="auto"/>
                <w:szCs w:val="21"/>
              </w:rPr>
              <w:t>条</w:t>
            </w:r>
          </w:p>
        </w:tc>
        <w:tc>
          <w:tcPr>
            <w:tcW w:w="795" w:type="pct"/>
            <w:noWrap w:val="0"/>
            <w:vAlign w:val="center"/>
          </w:tcPr>
          <w:p>
            <w:pPr>
              <w:wordWrap/>
              <w:topLinePunct w:val="0"/>
              <w:bidi w:val="0"/>
              <w:adjustRightInd w:val="0"/>
              <w:snapToGrid w:val="0"/>
              <w:spacing w:before="168" w:line="240" w:lineRule="auto"/>
              <w:jc w:val="both"/>
              <w:textAlignment w:val="auto"/>
              <w:rPr>
                <w:rFonts w:ascii="宋体" w:hAnsi="宋体"/>
                <w:snapToGrid w:val="0"/>
                <w:color w:val="auto"/>
                <w:kern w:val="0"/>
                <w:szCs w:val="21"/>
              </w:rPr>
            </w:pPr>
            <w:r>
              <w:rPr>
                <w:rFonts w:ascii="宋体" w:hAnsi="宋体"/>
                <w:color w:val="auto"/>
                <w:szCs w:val="21"/>
              </w:rPr>
              <w:t>矿山的办公区、工业场地、生活区不位于危崖、塌陷、洪水、泥石流、崩落区、影响范围区域。</w:t>
            </w:r>
          </w:p>
        </w:tc>
        <w:tc>
          <w:tcPr>
            <w:tcW w:w="421" w:type="pct"/>
            <w:noWrap w:val="0"/>
            <w:vAlign w:val="center"/>
          </w:tcPr>
          <w:p>
            <w:pPr>
              <w:wordWrap/>
              <w:topLinePunct w:val="0"/>
              <w:bidi w:val="0"/>
              <w:adjustRightInd w:val="0"/>
              <w:snapToGrid w:val="0"/>
              <w:spacing w:before="168" w:line="240" w:lineRule="auto"/>
              <w:jc w:val="both"/>
              <w:textAlignment w:val="auto"/>
              <w:rPr>
                <w:rFonts w:ascii="宋体" w:hAnsi="宋体"/>
                <w:snapToGrid w:val="0"/>
                <w:color w:val="auto"/>
                <w:kern w:val="0"/>
                <w:szCs w:val="21"/>
              </w:rPr>
            </w:pPr>
            <w:r>
              <w:rPr>
                <w:rFonts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5" w:hRule="atLeast"/>
          <w:jc w:val="center"/>
        </w:trPr>
        <w:tc>
          <w:tcPr>
            <w:tcW w:w="385" w:type="pct"/>
            <w:noWrap w:val="0"/>
            <w:vAlign w:val="center"/>
          </w:tcPr>
          <w:p>
            <w:pPr>
              <w:tabs>
                <w:tab w:val="center" w:pos="167"/>
              </w:tabs>
              <w:wordWrap/>
              <w:topLinePunct w:val="0"/>
              <w:bidi w:val="0"/>
              <w:adjustRightInd w:val="0"/>
              <w:snapToGrid w:val="0"/>
              <w:spacing w:before="221" w:beforeLines="70" w:line="240" w:lineRule="auto"/>
              <w:ind w:firstLine="210" w:firstLineChars="100"/>
              <w:textAlignment w:val="auto"/>
              <w:rPr>
                <w:rFonts w:hint="eastAsia" w:ascii="宋体" w:hAnsi="宋体"/>
                <w:snapToGrid w:val="0"/>
                <w:color w:val="auto"/>
                <w:kern w:val="0"/>
                <w:szCs w:val="21"/>
              </w:rPr>
            </w:pPr>
            <w:r>
              <w:rPr>
                <w:rFonts w:hint="eastAsia" w:ascii="宋体" w:hAnsi="宋体"/>
                <w:snapToGrid w:val="0"/>
                <w:color w:val="auto"/>
                <w:kern w:val="0"/>
                <w:szCs w:val="21"/>
              </w:rPr>
              <w:t>8</w:t>
            </w:r>
          </w:p>
        </w:tc>
        <w:tc>
          <w:tcPr>
            <w:tcW w:w="2462" w:type="pct"/>
            <w:noWrap w:val="0"/>
            <w:vAlign w:val="center"/>
          </w:tcPr>
          <w:p>
            <w:pPr>
              <w:wordWrap/>
              <w:topLinePunct w:val="0"/>
              <w:bidi w:val="0"/>
              <w:spacing w:line="240" w:lineRule="auto"/>
              <w:jc w:val="both"/>
              <w:textAlignment w:val="auto"/>
              <w:rPr>
                <w:rFonts w:ascii="宋体" w:hAnsi="宋体"/>
                <w:color w:val="auto"/>
                <w:kern w:val="0"/>
                <w:szCs w:val="21"/>
              </w:rPr>
            </w:pPr>
            <w:r>
              <w:rPr>
                <w:rFonts w:ascii="宋体" w:hAnsi="宋体"/>
                <w:color w:val="auto"/>
                <w:szCs w:val="21"/>
                <w:shd w:val="clear" w:color="auto" w:fill="FFFFFF"/>
              </w:rPr>
              <w:t>距工作台阶坡底线50米范围内不得从事碎石加工作业。</w:t>
            </w:r>
          </w:p>
        </w:tc>
        <w:tc>
          <w:tcPr>
            <w:tcW w:w="934" w:type="pct"/>
            <w:noWrap w:val="0"/>
            <w:vAlign w:val="center"/>
          </w:tcPr>
          <w:p>
            <w:pPr>
              <w:wordWrap/>
              <w:topLinePunct w:val="0"/>
              <w:bidi w:val="0"/>
              <w:spacing w:before="168" w:line="240" w:lineRule="auto"/>
              <w:jc w:val="both"/>
              <w:textAlignment w:val="auto"/>
              <w:rPr>
                <w:rFonts w:hint="eastAsia" w:ascii="宋体" w:hAnsi="宋体"/>
                <w:color w:val="auto"/>
                <w:szCs w:val="21"/>
              </w:rPr>
            </w:pPr>
            <w:r>
              <w:rPr>
                <w:rFonts w:ascii="宋体" w:hAnsi="宋体"/>
                <w:color w:val="auto"/>
                <w:spacing w:val="4"/>
                <w:kern w:val="10"/>
                <w:position w:val="2"/>
                <w:szCs w:val="21"/>
              </w:rPr>
              <w:t>《小型露天采石场安全管理与监督检查规定》第二十一条</w:t>
            </w:r>
          </w:p>
        </w:tc>
        <w:tc>
          <w:tcPr>
            <w:tcW w:w="795" w:type="pct"/>
            <w:noWrap w:val="0"/>
            <w:vAlign w:val="center"/>
          </w:tcPr>
          <w:p>
            <w:pPr>
              <w:wordWrap/>
              <w:topLinePunct w:val="0"/>
              <w:bidi w:val="0"/>
              <w:adjustRightInd w:val="0"/>
              <w:snapToGrid w:val="0"/>
              <w:spacing w:before="168" w:line="240" w:lineRule="auto"/>
              <w:jc w:val="both"/>
              <w:textAlignment w:val="auto"/>
              <w:rPr>
                <w:rFonts w:ascii="宋体" w:hAnsi="宋体"/>
                <w:snapToGrid w:val="0"/>
                <w:color w:val="auto"/>
                <w:kern w:val="0"/>
                <w:szCs w:val="21"/>
              </w:rPr>
            </w:pPr>
            <w:r>
              <w:rPr>
                <w:rFonts w:hint="eastAsia" w:ascii="宋体" w:hAnsi="宋体"/>
                <w:color w:val="auto"/>
                <w:spacing w:val="4"/>
                <w:kern w:val="10"/>
                <w:position w:val="2"/>
                <w:szCs w:val="21"/>
              </w:rPr>
              <w:t>破碎站位于采场</w:t>
            </w:r>
            <w:r>
              <w:rPr>
                <w:rFonts w:hint="eastAsia" w:ascii="宋体" w:hAnsi="宋体"/>
                <w:color w:val="auto"/>
                <w:spacing w:val="4"/>
                <w:kern w:val="10"/>
                <w:position w:val="2"/>
                <w:szCs w:val="21"/>
                <w:lang w:val="en-US" w:eastAsia="zh-CN"/>
              </w:rPr>
              <w:t>西</w:t>
            </w:r>
            <w:r>
              <w:rPr>
                <w:rFonts w:hint="eastAsia" w:ascii="宋体" w:hAnsi="宋体"/>
                <w:color w:val="auto"/>
                <w:spacing w:val="4"/>
                <w:kern w:val="10"/>
                <w:position w:val="2"/>
                <w:szCs w:val="21"/>
              </w:rPr>
              <w:t>南面</w:t>
            </w:r>
            <w:r>
              <w:rPr>
                <w:rFonts w:hint="eastAsia" w:ascii="宋体" w:hAnsi="宋体" w:eastAsia="宋体" w:cs="Times New Roman"/>
                <w:color w:val="auto"/>
                <w:spacing w:val="4"/>
                <w:kern w:val="10"/>
                <w:position w:val="2"/>
                <w:szCs w:val="21"/>
                <w:lang w:eastAsia="zh-CN"/>
              </w:rPr>
              <w:t>，</w:t>
            </w:r>
            <w:r>
              <w:rPr>
                <w:rFonts w:hint="eastAsia" w:ascii="宋体" w:hAnsi="宋体" w:eastAsia="宋体" w:cs="Times New Roman"/>
                <w:color w:val="auto"/>
                <w:spacing w:val="4"/>
                <w:kern w:val="10"/>
                <w:position w:val="2"/>
                <w:szCs w:val="21"/>
              </w:rPr>
              <w:t>距台阶坡底线约</w:t>
            </w:r>
            <w:r>
              <w:rPr>
                <w:rFonts w:hint="eastAsia" w:ascii="宋体" w:hAnsi="宋体" w:eastAsia="宋体" w:cs="Times New Roman"/>
                <w:color w:val="auto"/>
                <w:spacing w:val="4"/>
                <w:kern w:val="10"/>
                <w:position w:val="2"/>
                <w:szCs w:val="21"/>
                <w:lang w:val="en-US" w:eastAsia="zh-CN"/>
              </w:rPr>
              <w:t>70</w:t>
            </w:r>
            <w:r>
              <w:rPr>
                <w:rFonts w:hint="eastAsia" w:ascii="宋体" w:hAnsi="宋体" w:eastAsia="宋体" w:cs="Times New Roman"/>
                <w:color w:val="auto"/>
                <w:spacing w:val="4"/>
                <w:kern w:val="10"/>
                <w:position w:val="2"/>
                <w:szCs w:val="21"/>
              </w:rPr>
              <w:t>m处。</w:t>
            </w:r>
          </w:p>
        </w:tc>
        <w:tc>
          <w:tcPr>
            <w:tcW w:w="421" w:type="pct"/>
            <w:noWrap w:val="0"/>
            <w:vAlign w:val="center"/>
          </w:tcPr>
          <w:p>
            <w:pPr>
              <w:wordWrap/>
              <w:topLinePunct w:val="0"/>
              <w:bidi w:val="0"/>
              <w:adjustRightInd w:val="0"/>
              <w:snapToGrid w:val="0"/>
              <w:spacing w:before="168" w:line="240" w:lineRule="auto"/>
              <w:jc w:val="both"/>
              <w:textAlignment w:val="auto"/>
              <w:rPr>
                <w:rFonts w:ascii="宋体" w:hAnsi="宋体"/>
                <w:snapToGrid w:val="0"/>
                <w:color w:val="auto"/>
                <w:kern w:val="0"/>
                <w:szCs w:val="21"/>
              </w:rPr>
            </w:pPr>
            <w:r>
              <w:rPr>
                <w:rFonts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1" w:hRule="atLeast"/>
          <w:jc w:val="center"/>
        </w:trPr>
        <w:tc>
          <w:tcPr>
            <w:tcW w:w="385" w:type="pct"/>
            <w:noWrap w:val="0"/>
            <w:vAlign w:val="center"/>
          </w:tcPr>
          <w:p>
            <w:pPr>
              <w:tabs>
                <w:tab w:val="center" w:pos="167"/>
              </w:tabs>
              <w:wordWrap/>
              <w:topLinePunct w:val="0"/>
              <w:bidi w:val="0"/>
              <w:adjustRightInd w:val="0"/>
              <w:snapToGrid w:val="0"/>
              <w:spacing w:before="221" w:beforeLines="70" w:line="240" w:lineRule="auto"/>
              <w:ind w:firstLine="210" w:firstLineChars="100"/>
              <w:textAlignment w:val="auto"/>
              <w:rPr>
                <w:rFonts w:hint="eastAsia" w:ascii="宋体" w:hAnsi="宋体"/>
                <w:snapToGrid w:val="0"/>
                <w:color w:val="auto"/>
                <w:kern w:val="0"/>
                <w:szCs w:val="21"/>
              </w:rPr>
            </w:pPr>
            <w:r>
              <w:rPr>
                <w:rFonts w:hint="eastAsia" w:ascii="宋体" w:hAnsi="宋体"/>
                <w:snapToGrid w:val="0"/>
                <w:color w:val="auto"/>
                <w:kern w:val="0"/>
                <w:szCs w:val="21"/>
              </w:rPr>
              <w:t>9</w:t>
            </w:r>
          </w:p>
        </w:tc>
        <w:tc>
          <w:tcPr>
            <w:tcW w:w="2462" w:type="pct"/>
            <w:noWrap w:val="0"/>
            <w:vAlign w:val="center"/>
          </w:tcPr>
          <w:p>
            <w:pPr>
              <w:wordWrap/>
              <w:topLinePunct w:val="0"/>
              <w:bidi w:val="0"/>
              <w:spacing w:line="240" w:lineRule="auto"/>
              <w:jc w:val="both"/>
              <w:textAlignment w:val="auto"/>
              <w:rPr>
                <w:rFonts w:ascii="宋体" w:hAnsi="宋体"/>
                <w:color w:val="auto"/>
                <w:kern w:val="0"/>
                <w:szCs w:val="21"/>
              </w:rPr>
            </w:pPr>
            <w:r>
              <w:rPr>
                <w:rFonts w:ascii="宋体" w:hAnsi="宋体"/>
                <w:color w:val="auto"/>
                <w:szCs w:val="21"/>
                <w:shd w:val="clear" w:color="auto" w:fill="FFFFFF"/>
              </w:rPr>
              <w:t>相邻的采石场开采范围之间最小距离应当大于300米。对可能危及对方生产安全的，双方应当签订安全生产管理协议，明确各自的安全生产管理职责和应当采取的安全措施，指定专门人员进行安全检查与协调。</w:t>
            </w:r>
          </w:p>
        </w:tc>
        <w:tc>
          <w:tcPr>
            <w:tcW w:w="934" w:type="pct"/>
            <w:noWrap w:val="0"/>
            <w:vAlign w:val="center"/>
          </w:tcPr>
          <w:p>
            <w:pPr>
              <w:wordWrap/>
              <w:topLinePunct w:val="0"/>
              <w:bidi w:val="0"/>
              <w:spacing w:before="168" w:line="240" w:lineRule="auto"/>
              <w:jc w:val="both"/>
              <w:textAlignment w:val="auto"/>
              <w:rPr>
                <w:rFonts w:hint="eastAsia" w:ascii="宋体" w:hAnsi="宋体"/>
                <w:color w:val="auto"/>
                <w:szCs w:val="21"/>
              </w:rPr>
            </w:pPr>
            <w:r>
              <w:rPr>
                <w:rFonts w:ascii="宋体" w:hAnsi="宋体"/>
                <w:color w:val="auto"/>
                <w:spacing w:val="4"/>
                <w:kern w:val="10"/>
                <w:position w:val="2"/>
                <w:szCs w:val="21"/>
              </w:rPr>
              <w:t>《小型露天采石场安全管理与监督检查规定》第二十二条</w:t>
            </w:r>
          </w:p>
        </w:tc>
        <w:tc>
          <w:tcPr>
            <w:tcW w:w="795" w:type="pct"/>
            <w:noWrap w:val="0"/>
            <w:vAlign w:val="center"/>
          </w:tcPr>
          <w:p>
            <w:pPr>
              <w:wordWrap/>
              <w:topLinePunct w:val="0"/>
              <w:bidi w:val="0"/>
              <w:adjustRightInd w:val="0"/>
              <w:snapToGrid w:val="0"/>
              <w:spacing w:before="168" w:line="240" w:lineRule="auto"/>
              <w:jc w:val="both"/>
              <w:textAlignment w:val="auto"/>
              <w:rPr>
                <w:rFonts w:ascii="宋体" w:hAnsi="宋体"/>
                <w:snapToGrid w:val="0"/>
                <w:color w:val="auto"/>
                <w:kern w:val="0"/>
                <w:szCs w:val="21"/>
              </w:rPr>
            </w:pPr>
            <w:r>
              <w:rPr>
                <w:rFonts w:hint="eastAsia" w:ascii="宋体" w:hAnsi="宋体"/>
                <w:color w:val="auto"/>
                <w:szCs w:val="21"/>
                <w:shd w:val="clear" w:color="auto" w:fill="FFFFFF"/>
              </w:rPr>
              <w:t>根据现场踏勘矿界周边300m范围内无其他矿权，无矿权争议问题。</w:t>
            </w:r>
          </w:p>
        </w:tc>
        <w:tc>
          <w:tcPr>
            <w:tcW w:w="421" w:type="pct"/>
            <w:noWrap w:val="0"/>
            <w:vAlign w:val="center"/>
          </w:tcPr>
          <w:p>
            <w:pPr>
              <w:wordWrap/>
              <w:topLinePunct w:val="0"/>
              <w:bidi w:val="0"/>
              <w:adjustRightInd w:val="0"/>
              <w:snapToGrid w:val="0"/>
              <w:spacing w:before="168" w:line="240" w:lineRule="auto"/>
              <w:jc w:val="both"/>
              <w:textAlignment w:val="auto"/>
              <w:rPr>
                <w:rFonts w:ascii="宋体" w:hAnsi="宋体"/>
                <w:snapToGrid w:val="0"/>
                <w:color w:val="auto"/>
                <w:kern w:val="0"/>
                <w:szCs w:val="21"/>
              </w:rPr>
            </w:pPr>
            <w:r>
              <w:rPr>
                <w:rFonts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1" w:hRule="atLeast"/>
          <w:jc w:val="center"/>
        </w:trPr>
        <w:tc>
          <w:tcPr>
            <w:tcW w:w="385" w:type="pct"/>
            <w:noWrap w:val="0"/>
            <w:vAlign w:val="center"/>
          </w:tcPr>
          <w:p>
            <w:pPr>
              <w:tabs>
                <w:tab w:val="center" w:pos="167"/>
              </w:tabs>
              <w:wordWrap/>
              <w:topLinePunct w:val="0"/>
              <w:bidi w:val="0"/>
              <w:adjustRightInd w:val="0"/>
              <w:snapToGrid w:val="0"/>
              <w:spacing w:before="221" w:beforeLines="70" w:line="240" w:lineRule="auto"/>
              <w:ind w:firstLine="210" w:firstLineChars="100"/>
              <w:textAlignment w:val="auto"/>
              <w:rPr>
                <w:rFonts w:hint="eastAsia" w:ascii="宋体" w:hAnsi="宋体" w:eastAsia="宋体"/>
                <w:snapToGrid w:val="0"/>
                <w:color w:val="auto"/>
                <w:kern w:val="0"/>
                <w:szCs w:val="21"/>
                <w:lang w:eastAsia="zh-CN"/>
              </w:rPr>
            </w:pPr>
            <w:r>
              <w:rPr>
                <w:rFonts w:hint="eastAsia" w:ascii="宋体" w:hAnsi="宋体"/>
                <w:snapToGrid w:val="0"/>
                <w:color w:val="auto"/>
                <w:kern w:val="0"/>
                <w:szCs w:val="21"/>
              </w:rPr>
              <w:t>1</w:t>
            </w:r>
            <w:r>
              <w:rPr>
                <w:rFonts w:ascii="宋体" w:hAnsi="宋体"/>
                <w:snapToGrid w:val="0"/>
                <w:color w:val="auto"/>
                <w:kern w:val="0"/>
                <w:szCs w:val="21"/>
              </w:rPr>
              <w:t>0</w:t>
            </w:r>
          </w:p>
        </w:tc>
        <w:tc>
          <w:tcPr>
            <w:tcW w:w="2462" w:type="pct"/>
            <w:noWrap w:val="0"/>
            <w:vAlign w:val="center"/>
          </w:tcPr>
          <w:p>
            <w:pPr>
              <w:wordWrap/>
              <w:topLinePunct w:val="0"/>
              <w:bidi w:val="0"/>
              <w:spacing w:line="240" w:lineRule="auto"/>
              <w:jc w:val="both"/>
              <w:textAlignment w:val="auto"/>
              <w:rPr>
                <w:rFonts w:hint="eastAsia" w:ascii="宋体" w:hAnsi="宋体" w:eastAsia="宋体"/>
                <w:color w:val="auto"/>
                <w:kern w:val="0"/>
                <w:szCs w:val="21"/>
                <w:lang w:eastAsia="zh-CN"/>
              </w:rPr>
            </w:pPr>
            <w:r>
              <w:rPr>
                <w:rFonts w:ascii="宋体" w:hAnsi="宋体"/>
                <w:color w:val="auto"/>
                <w:kern w:val="0"/>
                <w:szCs w:val="21"/>
              </w:rPr>
              <w:t>任何单位和个人在距电力设施外围水平距离500米范围内进行爆破作业的，应当征得电力设施产权人的同意，提出安全防护方案报经县级以上电力行政主管部门批准后方可作业；未经批准，任何单位和个人不得爆破作业</w:t>
            </w:r>
            <w:r>
              <w:rPr>
                <w:rFonts w:hint="eastAsia" w:ascii="宋体" w:hAnsi="宋体"/>
                <w:color w:val="auto"/>
                <w:kern w:val="0"/>
                <w:szCs w:val="21"/>
                <w:lang w:eastAsia="zh-CN"/>
              </w:rPr>
              <w:t>。</w:t>
            </w:r>
          </w:p>
        </w:tc>
        <w:tc>
          <w:tcPr>
            <w:tcW w:w="934" w:type="pct"/>
            <w:noWrap w:val="0"/>
            <w:vAlign w:val="center"/>
          </w:tcPr>
          <w:p>
            <w:pPr>
              <w:wordWrap/>
              <w:topLinePunct w:val="0"/>
              <w:bidi w:val="0"/>
              <w:spacing w:before="168" w:line="240" w:lineRule="auto"/>
              <w:jc w:val="both"/>
              <w:textAlignment w:val="auto"/>
              <w:rPr>
                <w:rFonts w:hint="eastAsia" w:ascii="宋体" w:hAnsi="宋体"/>
                <w:color w:val="auto"/>
                <w:szCs w:val="21"/>
              </w:rPr>
            </w:pPr>
            <w:r>
              <w:rPr>
                <w:rFonts w:ascii="宋体" w:hAnsi="宋体"/>
                <w:color w:val="auto"/>
                <w:szCs w:val="21"/>
              </w:rPr>
              <w:t>《云南省电力设施保护条例》第十八条</w:t>
            </w:r>
          </w:p>
        </w:tc>
        <w:tc>
          <w:tcPr>
            <w:tcW w:w="795" w:type="pct"/>
            <w:noWrap w:val="0"/>
            <w:vAlign w:val="center"/>
          </w:tcPr>
          <w:p>
            <w:pPr>
              <w:wordWrap/>
              <w:topLinePunct w:val="0"/>
              <w:bidi w:val="0"/>
              <w:adjustRightInd w:val="0"/>
              <w:snapToGrid w:val="0"/>
              <w:spacing w:before="168" w:line="240" w:lineRule="auto"/>
              <w:jc w:val="both"/>
              <w:textAlignment w:val="auto"/>
              <w:rPr>
                <w:rFonts w:ascii="宋体" w:hAnsi="宋体"/>
                <w:snapToGrid w:val="0"/>
                <w:color w:val="auto"/>
                <w:kern w:val="0"/>
                <w:szCs w:val="21"/>
              </w:rPr>
            </w:pPr>
            <w:r>
              <w:rPr>
                <w:rFonts w:hint="eastAsia" w:ascii="宋体" w:hAnsi="宋体"/>
                <w:color w:val="auto"/>
                <w:szCs w:val="21"/>
                <w:shd w:val="clear" w:color="auto" w:fill="FFFFFF"/>
              </w:rPr>
              <w:t>矿区</w:t>
            </w:r>
            <w:r>
              <w:rPr>
                <w:rFonts w:ascii="宋体" w:hAnsi="宋体"/>
                <w:color w:val="auto"/>
                <w:szCs w:val="21"/>
                <w:shd w:val="clear" w:color="auto" w:fill="FFFFFF"/>
              </w:rPr>
              <w:t>5</w:t>
            </w:r>
            <w:r>
              <w:rPr>
                <w:rFonts w:hint="eastAsia" w:ascii="宋体" w:hAnsi="宋体"/>
                <w:color w:val="auto"/>
                <w:szCs w:val="21"/>
                <w:shd w:val="clear" w:color="auto" w:fill="FFFFFF"/>
              </w:rPr>
              <w:t>00m范围内无外部输电线路。</w:t>
            </w:r>
          </w:p>
        </w:tc>
        <w:tc>
          <w:tcPr>
            <w:tcW w:w="421" w:type="pct"/>
            <w:noWrap w:val="0"/>
            <w:vAlign w:val="center"/>
          </w:tcPr>
          <w:p>
            <w:pPr>
              <w:wordWrap/>
              <w:topLinePunct w:val="0"/>
              <w:bidi w:val="0"/>
              <w:adjustRightInd w:val="0"/>
              <w:snapToGrid w:val="0"/>
              <w:spacing w:before="168" w:line="240" w:lineRule="auto"/>
              <w:jc w:val="both"/>
              <w:textAlignment w:val="auto"/>
              <w:rPr>
                <w:rFonts w:ascii="宋体" w:hAnsi="宋体"/>
                <w:snapToGrid w:val="0"/>
                <w:color w:val="auto"/>
                <w:kern w:val="0"/>
                <w:szCs w:val="21"/>
              </w:rPr>
            </w:pPr>
            <w:r>
              <w:rPr>
                <w:rFonts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6" w:hRule="atLeast"/>
          <w:jc w:val="center"/>
        </w:trPr>
        <w:tc>
          <w:tcPr>
            <w:tcW w:w="385" w:type="pct"/>
            <w:noWrap w:val="0"/>
            <w:vAlign w:val="center"/>
          </w:tcPr>
          <w:p>
            <w:pPr>
              <w:tabs>
                <w:tab w:val="center" w:pos="167"/>
              </w:tabs>
              <w:wordWrap/>
              <w:topLinePunct w:val="0"/>
              <w:bidi w:val="0"/>
              <w:adjustRightInd w:val="0"/>
              <w:snapToGrid w:val="0"/>
              <w:spacing w:before="221" w:beforeLines="70" w:line="240" w:lineRule="auto"/>
              <w:ind w:firstLine="210" w:firstLineChars="100"/>
              <w:textAlignment w:val="auto"/>
              <w:rPr>
                <w:rFonts w:hint="eastAsia" w:ascii="宋体" w:hAnsi="宋体" w:eastAsia="宋体"/>
                <w:snapToGrid w:val="0"/>
                <w:color w:val="auto"/>
                <w:kern w:val="0"/>
                <w:szCs w:val="21"/>
                <w:lang w:eastAsia="zh-CN"/>
              </w:rPr>
            </w:pPr>
            <w:r>
              <w:rPr>
                <w:rFonts w:hint="eastAsia" w:ascii="宋体" w:hAnsi="宋体"/>
                <w:snapToGrid w:val="0"/>
                <w:color w:val="auto"/>
                <w:kern w:val="0"/>
                <w:szCs w:val="21"/>
              </w:rPr>
              <w:t>1</w:t>
            </w:r>
            <w:r>
              <w:rPr>
                <w:rFonts w:ascii="宋体" w:hAnsi="宋体"/>
                <w:snapToGrid w:val="0"/>
                <w:color w:val="auto"/>
                <w:kern w:val="0"/>
                <w:szCs w:val="21"/>
              </w:rPr>
              <w:t>1</w:t>
            </w:r>
          </w:p>
        </w:tc>
        <w:tc>
          <w:tcPr>
            <w:tcW w:w="2462" w:type="pct"/>
            <w:noWrap w:val="0"/>
            <w:vAlign w:val="center"/>
          </w:tcPr>
          <w:p>
            <w:pPr>
              <w:wordWrap/>
              <w:topLinePunct w:val="0"/>
              <w:bidi w:val="0"/>
              <w:spacing w:line="240" w:lineRule="auto"/>
              <w:jc w:val="both"/>
              <w:textAlignment w:val="auto"/>
              <w:rPr>
                <w:rFonts w:ascii="宋体" w:hAnsi="宋体"/>
                <w:color w:val="auto"/>
                <w:szCs w:val="21"/>
                <w:shd w:val="clear" w:color="auto" w:fill="FFFFFF"/>
              </w:rPr>
            </w:pPr>
            <w:r>
              <w:rPr>
                <w:rFonts w:ascii="宋体" w:hAnsi="宋体"/>
                <w:color w:val="auto"/>
                <w:szCs w:val="21"/>
                <w:shd w:val="clear" w:color="auto" w:fill="FFFFFF"/>
              </w:rPr>
              <w:t>对于未委托具备相应资质的设计单位编制开采设计或者开采方案，以及周边300米范围内存在生产生活设施的小型露天采石场，安全生产监督管理部门不得对其进行审查和验收。</w:t>
            </w:r>
          </w:p>
        </w:tc>
        <w:tc>
          <w:tcPr>
            <w:tcW w:w="934" w:type="pct"/>
            <w:noWrap w:val="0"/>
            <w:vAlign w:val="center"/>
          </w:tcPr>
          <w:p>
            <w:pPr>
              <w:wordWrap/>
              <w:topLinePunct w:val="0"/>
              <w:bidi w:val="0"/>
              <w:spacing w:before="168" w:line="240" w:lineRule="auto"/>
              <w:jc w:val="both"/>
              <w:textAlignment w:val="auto"/>
              <w:rPr>
                <w:rFonts w:hint="eastAsia" w:ascii="宋体" w:hAnsi="宋体"/>
                <w:color w:val="auto"/>
                <w:szCs w:val="21"/>
                <w:shd w:val="clear" w:color="auto" w:fill="FFFFFF"/>
              </w:rPr>
            </w:pPr>
            <w:r>
              <w:rPr>
                <w:rFonts w:ascii="宋体" w:hAnsi="宋体"/>
                <w:color w:val="auto"/>
                <w:szCs w:val="21"/>
                <w:shd w:val="clear" w:color="auto" w:fill="FFFFFF"/>
              </w:rPr>
              <w:t>《小型露天采石场安全管理与监督检查规定》第三十一条</w:t>
            </w:r>
          </w:p>
        </w:tc>
        <w:tc>
          <w:tcPr>
            <w:tcW w:w="795" w:type="pct"/>
            <w:noWrap w:val="0"/>
            <w:vAlign w:val="center"/>
          </w:tcPr>
          <w:p>
            <w:pPr>
              <w:wordWrap/>
              <w:topLinePunct w:val="0"/>
              <w:bidi w:val="0"/>
              <w:adjustRightInd w:val="0"/>
              <w:snapToGrid w:val="0"/>
              <w:spacing w:before="168" w:line="240" w:lineRule="auto"/>
              <w:jc w:val="both"/>
              <w:textAlignment w:val="auto"/>
              <w:rPr>
                <w:rFonts w:ascii="宋体" w:hAnsi="宋体"/>
                <w:color w:val="auto"/>
                <w:szCs w:val="21"/>
                <w:shd w:val="clear" w:color="auto" w:fill="FFFFFF"/>
              </w:rPr>
            </w:pPr>
            <w:r>
              <w:rPr>
                <w:rFonts w:ascii="宋体" w:hAnsi="宋体"/>
                <w:color w:val="auto"/>
                <w:szCs w:val="21"/>
                <w:shd w:val="clear" w:color="auto" w:fill="FFFFFF"/>
              </w:rPr>
              <w:t>周边300米范围内无其他企业和村庄等生产生活设施。</w:t>
            </w:r>
          </w:p>
        </w:tc>
        <w:tc>
          <w:tcPr>
            <w:tcW w:w="421" w:type="pct"/>
            <w:noWrap w:val="0"/>
            <w:vAlign w:val="center"/>
          </w:tcPr>
          <w:p>
            <w:pPr>
              <w:wordWrap/>
              <w:topLinePunct w:val="0"/>
              <w:bidi w:val="0"/>
              <w:adjustRightInd w:val="0"/>
              <w:snapToGrid w:val="0"/>
              <w:spacing w:before="168" w:line="240" w:lineRule="auto"/>
              <w:jc w:val="both"/>
              <w:textAlignment w:val="auto"/>
              <w:rPr>
                <w:rFonts w:ascii="宋体" w:hAnsi="宋体"/>
                <w:snapToGrid w:val="0"/>
                <w:color w:val="auto"/>
                <w:kern w:val="0"/>
                <w:szCs w:val="21"/>
              </w:rPr>
            </w:pPr>
            <w:r>
              <w:rPr>
                <w:rFonts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8" w:hRule="atLeast"/>
          <w:jc w:val="center"/>
        </w:trPr>
        <w:tc>
          <w:tcPr>
            <w:tcW w:w="385" w:type="pct"/>
            <w:noWrap w:val="0"/>
            <w:vAlign w:val="center"/>
          </w:tcPr>
          <w:p>
            <w:pPr>
              <w:tabs>
                <w:tab w:val="center" w:pos="167"/>
              </w:tabs>
              <w:wordWrap/>
              <w:topLinePunct w:val="0"/>
              <w:bidi w:val="0"/>
              <w:adjustRightInd w:val="0"/>
              <w:snapToGrid w:val="0"/>
              <w:spacing w:before="221" w:beforeLines="70" w:line="240" w:lineRule="auto"/>
              <w:ind w:firstLine="210" w:firstLineChars="100"/>
              <w:jc w:val="both"/>
              <w:textAlignment w:val="auto"/>
              <w:rPr>
                <w:rFonts w:hint="default" w:ascii="宋体" w:hAnsi="宋体" w:eastAsia="宋体"/>
                <w:snapToGrid w:val="0"/>
                <w:color w:val="auto"/>
                <w:kern w:val="0"/>
                <w:szCs w:val="21"/>
                <w:lang w:val="en-US" w:eastAsia="zh-CN"/>
              </w:rPr>
            </w:pPr>
            <w:bookmarkStart w:id="379" w:name="_Toc381349805"/>
            <w:bookmarkStart w:id="380" w:name="_Toc102829718"/>
            <w:r>
              <w:rPr>
                <w:rFonts w:hint="eastAsia" w:ascii="宋体" w:hAnsi="宋体"/>
                <w:snapToGrid w:val="0"/>
                <w:color w:val="auto"/>
                <w:kern w:val="0"/>
                <w:szCs w:val="21"/>
                <w:lang w:val="en-US" w:eastAsia="zh-CN"/>
              </w:rPr>
              <w:t>12</w:t>
            </w:r>
          </w:p>
        </w:tc>
        <w:tc>
          <w:tcPr>
            <w:tcW w:w="2462" w:type="pct"/>
            <w:noWrap w:val="0"/>
            <w:vAlign w:val="center"/>
          </w:tcPr>
          <w:p>
            <w:pPr>
              <w:wordWrap/>
              <w:topLinePunct w:val="0"/>
              <w:bidi w:val="0"/>
              <w:spacing w:line="240" w:lineRule="auto"/>
              <w:jc w:val="both"/>
              <w:textAlignment w:val="auto"/>
              <w:rPr>
                <w:rFonts w:ascii="宋体" w:hAnsi="宋体"/>
                <w:color w:val="auto"/>
                <w:szCs w:val="21"/>
                <w:shd w:val="clear" w:color="auto" w:fill="FFFFFF"/>
              </w:rPr>
            </w:pPr>
            <w:r>
              <w:rPr>
                <w:rFonts w:hint="eastAsia" w:ascii="宋体" w:hAnsi="宋体"/>
                <w:color w:val="auto"/>
                <w:szCs w:val="21"/>
                <w:shd w:val="clear" w:color="auto" w:fill="FFFFFF"/>
              </w:rPr>
              <w:t>排土场不应受洪水威胁或者由于上游汇水造成滑坡、塌方、泥石流等灾害。</w:t>
            </w:r>
          </w:p>
        </w:tc>
        <w:tc>
          <w:tcPr>
            <w:tcW w:w="934" w:type="pct"/>
            <w:noWrap w:val="0"/>
            <w:vAlign w:val="center"/>
          </w:tcPr>
          <w:p>
            <w:pPr>
              <w:wordWrap/>
              <w:topLinePunct w:val="0"/>
              <w:bidi w:val="0"/>
              <w:adjustRightInd w:val="0"/>
              <w:snapToGrid w:val="0"/>
              <w:spacing w:line="240" w:lineRule="auto"/>
              <w:jc w:val="both"/>
              <w:textAlignment w:val="auto"/>
              <w:rPr>
                <w:rFonts w:hint="eastAsia" w:ascii="宋体" w:hAnsi="宋体"/>
                <w:color w:val="auto"/>
                <w:spacing w:val="4"/>
                <w:kern w:val="10"/>
                <w:position w:val="2"/>
                <w:szCs w:val="21"/>
              </w:rPr>
            </w:pPr>
            <w:r>
              <w:rPr>
                <w:rFonts w:ascii="宋体" w:hAnsi="宋体"/>
                <w:color w:val="auto"/>
                <w:spacing w:val="4"/>
                <w:kern w:val="10"/>
                <w:position w:val="2"/>
                <w:szCs w:val="21"/>
              </w:rPr>
              <w:t>《金属非金属矿山安全规程》</w:t>
            </w:r>
          </w:p>
          <w:p>
            <w:pPr>
              <w:wordWrap/>
              <w:topLinePunct w:val="0"/>
              <w:bidi w:val="0"/>
              <w:spacing w:before="168" w:line="240" w:lineRule="auto"/>
              <w:jc w:val="both"/>
              <w:textAlignment w:val="auto"/>
              <w:rPr>
                <w:rFonts w:ascii="宋体" w:hAnsi="宋体"/>
                <w:color w:val="auto"/>
                <w:szCs w:val="21"/>
                <w:shd w:val="clear" w:color="auto" w:fill="FFFFFF"/>
              </w:rPr>
            </w:pPr>
            <w:r>
              <w:rPr>
                <w:rFonts w:hint="eastAsia" w:ascii="宋体" w:hAnsi="宋体"/>
                <w:color w:val="auto"/>
                <w:spacing w:val="4"/>
                <w:kern w:val="10"/>
                <w:position w:val="2"/>
                <w:szCs w:val="21"/>
              </w:rPr>
              <w:t>（GB16423-2020）</w:t>
            </w:r>
            <w:r>
              <w:rPr>
                <w:rFonts w:ascii="宋体" w:hAnsi="宋体"/>
                <w:color w:val="auto"/>
                <w:szCs w:val="21"/>
              </w:rPr>
              <w:t>第</w:t>
            </w:r>
            <w:r>
              <w:rPr>
                <w:rFonts w:hint="eastAsia" w:ascii="宋体" w:hAnsi="宋体"/>
                <w:color w:val="auto"/>
                <w:szCs w:val="21"/>
                <w:lang w:val="en-US" w:eastAsia="zh-CN"/>
              </w:rPr>
              <w:t>5.5.1.1</w:t>
            </w:r>
            <w:r>
              <w:rPr>
                <w:rFonts w:ascii="宋体" w:hAnsi="宋体"/>
                <w:color w:val="auto"/>
                <w:szCs w:val="21"/>
              </w:rPr>
              <w:t>条</w:t>
            </w:r>
          </w:p>
        </w:tc>
        <w:tc>
          <w:tcPr>
            <w:tcW w:w="795" w:type="pct"/>
            <w:noWrap w:val="0"/>
            <w:vAlign w:val="center"/>
          </w:tcPr>
          <w:p>
            <w:pPr>
              <w:wordWrap/>
              <w:topLinePunct w:val="0"/>
              <w:bidi w:val="0"/>
              <w:adjustRightInd w:val="0"/>
              <w:snapToGrid w:val="0"/>
              <w:spacing w:before="168" w:line="240" w:lineRule="auto"/>
              <w:jc w:val="both"/>
              <w:textAlignment w:val="auto"/>
              <w:rPr>
                <w:rFonts w:hint="default" w:ascii="宋体" w:hAnsi="宋体" w:eastAsia="宋体"/>
                <w:color w:val="auto"/>
                <w:szCs w:val="21"/>
                <w:shd w:val="clear" w:color="auto" w:fill="FFFFFF"/>
                <w:lang w:val="en-US" w:eastAsia="zh-CN"/>
              </w:rPr>
            </w:pPr>
            <w:r>
              <w:rPr>
                <w:rFonts w:hint="eastAsia" w:ascii="宋体" w:hAnsi="宋体" w:eastAsia="宋体"/>
                <w:color w:val="auto"/>
                <w:szCs w:val="21"/>
                <w:shd w:val="clear" w:color="auto" w:fill="FFFFFF"/>
                <w:lang w:val="en-US" w:eastAsia="zh-CN"/>
              </w:rPr>
              <w:t>未设计排土场</w:t>
            </w:r>
          </w:p>
        </w:tc>
        <w:tc>
          <w:tcPr>
            <w:tcW w:w="421" w:type="pct"/>
            <w:noWrap w:val="0"/>
            <w:vAlign w:val="center"/>
          </w:tcPr>
          <w:p>
            <w:pPr>
              <w:wordWrap/>
              <w:topLinePunct w:val="0"/>
              <w:bidi w:val="0"/>
              <w:adjustRightInd w:val="0"/>
              <w:snapToGrid w:val="0"/>
              <w:spacing w:before="168" w:line="240" w:lineRule="auto"/>
              <w:jc w:val="both"/>
              <w:textAlignment w:val="auto"/>
              <w:rPr>
                <w:rFonts w:hint="eastAsia" w:ascii="宋体" w:hAnsi="宋体" w:eastAsia="宋体"/>
                <w:color w:val="auto"/>
                <w:szCs w:val="21"/>
                <w:lang w:val="en-US" w:eastAsia="zh-CN"/>
              </w:rPr>
            </w:pPr>
            <w:r>
              <w:rPr>
                <w:rFonts w:hint="eastAsia" w:ascii="宋体" w:hAnsi="宋体"/>
                <w:color w:val="auto"/>
                <w:szCs w:val="21"/>
                <w:lang w:val="en-US" w:eastAsia="zh-CN"/>
              </w:rPr>
              <w:t>符合</w:t>
            </w:r>
          </w:p>
        </w:tc>
      </w:tr>
    </w:tbl>
    <w:p>
      <w:pPr>
        <w:pStyle w:val="5"/>
        <w:bidi w:val="0"/>
        <w:rPr>
          <w:rFonts w:hint="eastAsia"/>
          <w:lang w:eastAsia="zh-CN"/>
        </w:rPr>
      </w:pPr>
      <w:bookmarkStart w:id="381" w:name="_Toc21156"/>
      <w:r>
        <w:rPr>
          <w:rFonts w:hint="eastAsia"/>
          <w:lang w:eastAsia="zh-CN"/>
        </w:rPr>
        <w:t>4.2.2周边环境影响分析</w:t>
      </w:r>
      <w:bookmarkEnd w:id="379"/>
      <w:r>
        <w:rPr>
          <w:rFonts w:hint="eastAsia"/>
          <w:lang w:eastAsia="zh-CN"/>
        </w:rPr>
        <w:t>及现状与设计吻合性评述</w:t>
      </w:r>
      <w:bookmarkEnd w:id="380"/>
      <w:bookmarkEnd w:id="381"/>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根据现场勘查，矿区周围300m范围内无相邻矿山，无村庄</w:t>
      </w:r>
      <w:r>
        <w:rPr>
          <w:rFonts w:hint="eastAsia" w:ascii="宋体" w:hAnsi="宋体" w:cs="Times New Roman"/>
          <w:color w:val="auto"/>
          <w:sz w:val="28"/>
          <w:szCs w:val="28"/>
          <w:lang w:eastAsia="zh-CN"/>
        </w:rPr>
        <w:t>，</w:t>
      </w:r>
      <w:r>
        <w:rPr>
          <w:rFonts w:hint="eastAsia" w:ascii="宋体" w:hAnsi="宋体" w:eastAsia="宋体" w:cs="Times New Roman"/>
          <w:color w:val="auto"/>
          <w:sz w:val="28"/>
          <w:szCs w:val="28"/>
        </w:rPr>
        <w:t>无通讯设施，无高压线，也无重要工业设施，500m范围内无高压线。矿区内无居民点、无任何重要交通要道和重要建筑设施、无自然保护区及旅游景区（点）、无较重要水源地；工程建设区植被覆盖稀疏，不占用坡耕地。矿区运输条件较好，具有较好的生产作业条件。开采范围内无植被、无田地、无矿权争议等。</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color w:val="auto"/>
        </w:rPr>
      </w:pPr>
      <w:r>
        <w:rPr>
          <w:rFonts w:hint="eastAsia" w:ascii="宋体" w:hAnsi="宋体" w:eastAsia="宋体" w:cs="Times New Roman"/>
          <w:color w:val="auto"/>
          <w:sz w:val="28"/>
          <w:szCs w:val="28"/>
        </w:rPr>
        <w:t>综上所述，总平面布置符合设计要求。</w:t>
      </w:r>
    </w:p>
    <w:p>
      <w:pPr>
        <w:pStyle w:val="5"/>
        <w:bidi w:val="0"/>
        <w:rPr>
          <w:rFonts w:hint="eastAsia"/>
          <w:lang w:eastAsia="zh-CN"/>
        </w:rPr>
      </w:pPr>
      <w:bookmarkStart w:id="382" w:name="_Toc467792819"/>
      <w:bookmarkStart w:id="383" w:name="_Toc502865219"/>
      <w:bookmarkStart w:id="384" w:name="_Toc102829719"/>
      <w:bookmarkStart w:id="385" w:name="_Toc13366"/>
      <w:bookmarkStart w:id="386" w:name="_Toc27197"/>
      <w:bookmarkStart w:id="387" w:name="_Toc438635192"/>
      <w:bookmarkStart w:id="388" w:name="_Toc31446"/>
      <w:r>
        <w:rPr>
          <w:rFonts w:hint="eastAsia"/>
          <w:lang w:eastAsia="zh-CN"/>
        </w:rPr>
        <w:t>4.2.3单元小结</w:t>
      </w:r>
      <w:bookmarkEnd w:id="382"/>
      <w:bookmarkEnd w:id="383"/>
      <w:bookmarkEnd w:id="384"/>
      <w:bookmarkEnd w:id="385"/>
      <w:bookmarkEnd w:id="386"/>
      <w:bookmarkEnd w:id="387"/>
      <w:bookmarkEnd w:id="388"/>
    </w:p>
    <w:p>
      <w:pPr>
        <w:wordWrap/>
        <w:topLinePunct w:val="0"/>
        <w:bidi w:val="0"/>
        <w:spacing w:line="500" w:lineRule="exact"/>
        <w:ind w:firstLine="561"/>
        <w:textAlignment w:val="auto"/>
        <w:rPr>
          <w:rFonts w:hint="eastAsia" w:ascii="宋体" w:hAnsi="宋体"/>
          <w:color w:val="auto"/>
          <w:kern w:val="0"/>
          <w:sz w:val="28"/>
          <w:szCs w:val="28"/>
          <w:lang w:val="zh-CN"/>
        </w:rPr>
      </w:pPr>
      <w:r>
        <w:rPr>
          <w:rFonts w:hint="eastAsia" w:ascii="宋体" w:hAnsi="宋体" w:eastAsia="宋体" w:cs="Times New Roman"/>
          <w:color w:val="auto"/>
          <w:sz w:val="28"/>
          <w:szCs w:val="28"/>
        </w:rPr>
        <w:t>通过对矿山的总体布局的评价，总体布局合理、可行，符合相关法律、法规、规范和设计要求，</w:t>
      </w:r>
      <w:r>
        <w:rPr>
          <w:rFonts w:hint="eastAsia" w:ascii="宋体" w:hAnsi="宋体" w:eastAsia="宋体" w:cs="Times New Roman"/>
          <w:color w:val="auto"/>
          <w:sz w:val="28"/>
          <w:szCs w:val="28"/>
          <w:lang w:val="zh-CN"/>
        </w:rPr>
        <w:t>本评价单元总体满足安全生产条件。</w:t>
      </w:r>
    </w:p>
    <w:p>
      <w:pPr>
        <w:pStyle w:val="4"/>
        <w:bidi w:val="0"/>
        <w:rPr>
          <w:lang w:eastAsia="zh-CN"/>
        </w:rPr>
      </w:pPr>
      <w:bookmarkStart w:id="389" w:name="_Toc352006138"/>
      <w:bookmarkStart w:id="390" w:name="_Toc385433914"/>
      <w:bookmarkStart w:id="391" w:name="_Toc1310"/>
      <w:r>
        <w:rPr>
          <w:rFonts w:hint="eastAsia"/>
          <w:lang w:eastAsia="zh-CN"/>
        </w:rPr>
        <w:t>4.3</w:t>
      </w:r>
      <w:bookmarkEnd w:id="389"/>
      <w:bookmarkEnd w:id="390"/>
      <w:r>
        <w:rPr>
          <w:rFonts w:hint="eastAsia"/>
          <w:lang w:eastAsia="zh-CN"/>
        </w:rPr>
        <w:t>开拓运输系统单元</w:t>
      </w:r>
      <w:bookmarkEnd w:id="391"/>
    </w:p>
    <w:p>
      <w:pPr>
        <w:pStyle w:val="5"/>
        <w:bidi w:val="0"/>
        <w:rPr>
          <w:rFonts w:hint="eastAsia"/>
          <w:lang w:eastAsia="zh-CN"/>
        </w:rPr>
      </w:pPr>
      <w:bookmarkStart w:id="392" w:name="_Toc352006140"/>
      <w:bookmarkStart w:id="393" w:name="_Toc385433916"/>
      <w:bookmarkStart w:id="394" w:name="_Toc102829721"/>
      <w:bookmarkStart w:id="395" w:name="_Toc3170"/>
      <w:r>
        <w:rPr>
          <w:rFonts w:hint="eastAsia"/>
          <w:lang w:eastAsia="zh-CN"/>
        </w:rPr>
        <w:t>4.3.1开拓运输系统安全检查表</w:t>
      </w:r>
      <w:bookmarkEnd w:id="392"/>
      <w:bookmarkEnd w:id="393"/>
      <w:bookmarkEnd w:id="394"/>
      <w:bookmarkEnd w:id="395"/>
    </w:p>
    <w:p>
      <w:pPr>
        <w:pStyle w:val="48"/>
        <w:wordWrap/>
        <w:topLinePunct w:val="0"/>
        <w:bidi w:val="0"/>
        <w:spacing w:line="500" w:lineRule="exact"/>
        <w:ind w:firstLine="560" w:firstLineChars="200"/>
        <w:jc w:val="left"/>
        <w:textAlignment w:val="auto"/>
        <w:rPr>
          <w:rFonts w:hint="eastAsia" w:ascii="宋体" w:hAnsi="宋体" w:eastAsia="宋体" w:cs="Times New Roman"/>
          <w:b w:val="0"/>
          <w:bCs w:val="0"/>
          <w:color w:val="auto"/>
          <w:kern w:val="2"/>
          <w:sz w:val="28"/>
          <w:szCs w:val="28"/>
          <w:lang w:val="en-US" w:eastAsia="zh-CN" w:bidi="ar-SA"/>
        </w:rPr>
      </w:pPr>
      <w:r>
        <w:rPr>
          <w:rFonts w:hint="eastAsia" w:ascii="宋体" w:hAnsi="宋体" w:eastAsia="宋体" w:cs="Times New Roman"/>
          <w:b w:val="0"/>
          <w:bCs w:val="0"/>
          <w:color w:val="auto"/>
          <w:kern w:val="2"/>
          <w:sz w:val="28"/>
          <w:szCs w:val="28"/>
          <w:lang w:val="en-US" w:eastAsia="zh-CN" w:bidi="ar-SA"/>
        </w:rPr>
        <w:t>根据《金属非金属矿山安全规程》GB16423-2020等法规、标准及《初步设计及安全设施设计》对开拓运输单元进行安全检查。</w:t>
      </w:r>
    </w:p>
    <w:p>
      <w:pPr>
        <w:pStyle w:val="48"/>
        <w:wordWrap/>
        <w:topLinePunct w:val="0"/>
        <w:bidi w:val="0"/>
        <w:spacing w:line="500" w:lineRule="exact"/>
        <w:textAlignment w:val="auto"/>
        <w:rPr>
          <w:rFonts w:ascii="宋体" w:hAnsi="宋体" w:eastAsia="宋体"/>
          <w:color w:val="auto"/>
        </w:rPr>
      </w:pPr>
      <w:r>
        <w:rPr>
          <w:rFonts w:ascii="宋体" w:hAnsi="宋体" w:eastAsia="宋体"/>
          <w:color w:val="auto"/>
        </w:rPr>
        <w:t>表</w:t>
      </w:r>
      <w:r>
        <w:rPr>
          <w:rFonts w:hint="eastAsia" w:ascii="宋体" w:hAnsi="宋体" w:eastAsia="宋体"/>
          <w:color w:val="auto"/>
        </w:rPr>
        <w:t>4</w:t>
      </w:r>
      <w:r>
        <w:rPr>
          <w:rFonts w:ascii="宋体" w:hAnsi="宋体" w:eastAsia="宋体"/>
          <w:color w:val="auto"/>
        </w:rPr>
        <w:t>-</w:t>
      </w:r>
      <w:r>
        <w:rPr>
          <w:rFonts w:hint="eastAsia" w:ascii="宋体" w:hAnsi="宋体" w:eastAsia="宋体"/>
          <w:color w:val="auto"/>
        </w:rPr>
        <w:t>4开拓</w:t>
      </w:r>
      <w:r>
        <w:rPr>
          <w:rFonts w:ascii="宋体" w:hAnsi="宋体" w:eastAsia="宋体"/>
          <w:color w:val="auto"/>
          <w:lang w:eastAsia="zh-TW"/>
        </w:rPr>
        <w:t>运输</w:t>
      </w:r>
      <w:r>
        <w:rPr>
          <w:rFonts w:ascii="宋体" w:hAnsi="宋体" w:eastAsia="宋体"/>
          <w:color w:val="auto"/>
        </w:rPr>
        <w:t>系统安全检查表</w:t>
      </w:r>
    </w:p>
    <w:tbl>
      <w:tblPr>
        <w:tblStyle w:val="35"/>
        <w:tblW w:w="0" w:type="auto"/>
        <w:tblInd w:w="1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2"/>
        <w:gridCol w:w="3531"/>
        <w:gridCol w:w="2873"/>
        <w:gridCol w:w="1313"/>
        <w:gridCol w:w="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trPr>
        <w:tc>
          <w:tcPr>
            <w:tcW w:w="542" w:type="dxa"/>
            <w:noWrap w:val="0"/>
            <w:vAlign w:val="center"/>
          </w:tcPr>
          <w:p>
            <w:pPr>
              <w:wordWrap/>
              <w:topLinePunct w:val="0"/>
              <w:bidi w:val="0"/>
              <w:spacing w:line="240" w:lineRule="auto"/>
              <w:jc w:val="center"/>
              <w:textAlignment w:val="auto"/>
              <w:rPr>
                <w:rFonts w:ascii="宋体" w:hAnsi="宋体"/>
                <w:b/>
                <w:color w:val="auto"/>
                <w:szCs w:val="21"/>
              </w:rPr>
            </w:pPr>
            <w:r>
              <w:rPr>
                <w:rFonts w:ascii="宋体" w:hAnsi="宋体"/>
                <w:b/>
                <w:color w:val="auto"/>
                <w:szCs w:val="21"/>
              </w:rPr>
              <w:t>序号</w:t>
            </w:r>
          </w:p>
        </w:tc>
        <w:tc>
          <w:tcPr>
            <w:tcW w:w="3531" w:type="dxa"/>
            <w:noWrap w:val="0"/>
            <w:vAlign w:val="center"/>
          </w:tcPr>
          <w:p>
            <w:pPr>
              <w:wordWrap/>
              <w:topLinePunct w:val="0"/>
              <w:bidi w:val="0"/>
              <w:spacing w:line="240" w:lineRule="auto"/>
              <w:jc w:val="center"/>
              <w:textAlignment w:val="auto"/>
              <w:rPr>
                <w:rFonts w:ascii="宋体" w:hAnsi="宋体"/>
                <w:b/>
                <w:color w:val="auto"/>
                <w:szCs w:val="21"/>
              </w:rPr>
            </w:pPr>
            <w:r>
              <w:rPr>
                <w:rFonts w:ascii="宋体" w:hAnsi="宋体"/>
                <w:b/>
                <w:color w:val="auto"/>
                <w:szCs w:val="21"/>
              </w:rPr>
              <w:t>检查内容</w:t>
            </w:r>
          </w:p>
        </w:tc>
        <w:tc>
          <w:tcPr>
            <w:tcW w:w="2873" w:type="dxa"/>
            <w:noWrap w:val="0"/>
            <w:vAlign w:val="center"/>
          </w:tcPr>
          <w:p>
            <w:pPr>
              <w:wordWrap/>
              <w:topLinePunct w:val="0"/>
              <w:bidi w:val="0"/>
              <w:spacing w:line="240" w:lineRule="auto"/>
              <w:jc w:val="center"/>
              <w:textAlignment w:val="auto"/>
              <w:rPr>
                <w:rFonts w:ascii="宋体" w:hAnsi="宋体"/>
                <w:b/>
                <w:color w:val="auto"/>
                <w:szCs w:val="21"/>
              </w:rPr>
            </w:pPr>
            <w:r>
              <w:rPr>
                <w:rFonts w:ascii="宋体" w:hAnsi="宋体"/>
                <w:b/>
                <w:color w:val="auto"/>
                <w:szCs w:val="21"/>
              </w:rPr>
              <w:t>依据标准条款</w:t>
            </w:r>
          </w:p>
        </w:tc>
        <w:tc>
          <w:tcPr>
            <w:tcW w:w="1313" w:type="dxa"/>
            <w:noWrap w:val="0"/>
            <w:vAlign w:val="center"/>
          </w:tcPr>
          <w:p>
            <w:pPr>
              <w:wordWrap/>
              <w:topLinePunct w:val="0"/>
              <w:bidi w:val="0"/>
              <w:spacing w:line="240" w:lineRule="auto"/>
              <w:jc w:val="center"/>
              <w:textAlignment w:val="auto"/>
              <w:rPr>
                <w:rFonts w:ascii="宋体" w:hAnsi="宋体"/>
                <w:b/>
                <w:color w:val="auto"/>
                <w:szCs w:val="21"/>
              </w:rPr>
            </w:pPr>
            <w:r>
              <w:rPr>
                <w:rFonts w:hint="eastAsia" w:ascii="宋体" w:hAnsi="宋体"/>
                <w:b/>
                <w:color w:val="auto"/>
                <w:kern w:val="0"/>
                <w:szCs w:val="21"/>
                <w:lang w:val="en-US" w:eastAsia="zh-CN"/>
              </w:rPr>
              <w:t>检查</w:t>
            </w:r>
            <w:r>
              <w:rPr>
                <w:rFonts w:ascii="宋体" w:hAnsi="宋体"/>
                <w:b/>
                <w:color w:val="auto"/>
                <w:kern w:val="0"/>
                <w:szCs w:val="21"/>
              </w:rPr>
              <w:t>情况</w:t>
            </w:r>
          </w:p>
        </w:tc>
        <w:tc>
          <w:tcPr>
            <w:tcW w:w="735" w:type="dxa"/>
            <w:noWrap w:val="0"/>
            <w:vAlign w:val="center"/>
          </w:tcPr>
          <w:p>
            <w:pPr>
              <w:wordWrap/>
              <w:topLinePunct w:val="0"/>
              <w:bidi w:val="0"/>
              <w:spacing w:line="240" w:lineRule="auto"/>
              <w:jc w:val="center"/>
              <w:textAlignment w:val="auto"/>
              <w:rPr>
                <w:rFonts w:hint="eastAsia" w:ascii="宋体" w:hAnsi="宋体" w:eastAsia="宋体"/>
                <w:b/>
                <w:color w:val="auto"/>
                <w:szCs w:val="21"/>
                <w:lang w:eastAsia="zh-CN"/>
              </w:rPr>
            </w:pPr>
            <w:r>
              <w:rPr>
                <w:rFonts w:ascii="宋体" w:hAnsi="宋体"/>
                <w:b/>
                <w:color w:val="auto"/>
                <w:szCs w:val="21"/>
              </w:rPr>
              <w:t>检查</w:t>
            </w:r>
            <w:r>
              <w:rPr>
                <w:rFonts w:hint="eastAsia" w:ascii="宋体" w:hAnsi="宋体"/>
                <w:b/>
                <w:color w:val="auto"/>
                <w:szCs w:val="21"/>
                <w:lang w:val="en-US" w:eastAsia="zh-CN"/>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8994" w:type="dxa"/>
            <w:gridSpan w:val="5"/>
            <w:noWrap w:val="0"/>
            <w:vAlign w:val="center"/>
          </w:tcPr>
          <w:p>
            <w:pPr>
              <w:wordWrap/>
              <w:topLinePunct w:val="0"/>
              <w:bidi w:val="0"/>
              <w:spacing w:line="240" w:lineRule="auto"/>
              <w:jc w:val="center"/>
              <w:textAlignment w:val="auto"/>
              <w:rPr>
                <w:rFonts w:ascii="宋体" w:hAnsi="宋体"/>
                <w:b/>
                <w:color w:val="auto"/>
                <w:szCs w:val="21"/>
              </w:rPr>
            </w:pPr>
            <w:r>
              <w:rPr>
                <w:rFonts w:ascii="宋体" w:hAnsi="宋体"/>
                <w:b/>
                <w:color w:val="auto"/>
                <w:szCs w:val="21"/>
              </w:rPr>
              <w:t>道路运输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trPr>
        <w:tc>
          <w:tcPr>
            <w:tcW w:w="542"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1</w:t>
            </w:r>
          </w:p>
        </w:tc>
        <w:tc>
          <w:tcPr>
            <w:tcW w:w="3531" w:type="dxa"/>
            <w:noWrap w:val="0"/>
            <w:vAlign w:val="center"/>
          </w:tcPr>
          <w:p>
            <w:pPr>
              <w:wordWrap/>
              <w:topLinePunct w:val="0"/>
              <w:bidi w:val="0"/>
              <w:spacing w:line="240" w:lineRule="auto"/>
              <w:jc w:val="both"/>
              <w:textAlignment w:val="auto"/>
              <w:rPr>
                <w:rFonts w:ascii="宋体" w:hAnsi="宋体"/>
                <w:color w:val="auto"/>
                <w:szCs w:val="21"/>
              </w:rPr>
            </w:pPr>
            <w:r>
              <w:rPr>
                <w:rFonts w:hint="eastAsia" w:ascii="宋体" w:hAnsi="宋体"/>
                <w:color w:val="auto"/>
                <w:szCs w:val="21"/>
              </w:rPr>
              <w:t>不应用自卸汽车运载易燃、易爆物品。</w:t>
            </w:r>
          </w:p>
        </w:tc>
        <w:tc>
          <w:tcPr>
            <w:tcW w:w="2873" w:type="dxa"/>
            <w:noWrap w:val="0"/>
            <w:vAlign w:val="center"/>
          </w:tcPr>
          <w:p>
            <w:pPr>
              <w:wordWrap/>
              <w:topLinePunct w:val="0"/>
              <w:bidi w:val="0"/>
              <w:spacing w:line="240" w:lineRule="auto"/>
              <w:jc w:val="both"/>
              <w:textAlignment w:val="auto"/>
              <w:rPr>
                <w:rFonts w:ascii="宋体" w:hAnsi="宋体"/>
                <w:color w:val="auto"/>
                <w:szCs w:val="21"/>
              </w:rPr>
            </w:pPr>
            <w:r>
              <w:rPr>
                <w:rFonts w:hint="eastAsia" w:ascii="宋体" w:hAnsi="宋体"/>
                <w:color w:val="auto"/>
                <w:szCs w:val="21"/>
              </w:rPr>
              <w:t>《</w:t>
            </w:r>
            <w:r>
              <w:rPr>
                <w:rFonts w:hint="eastAsia" w:ascii="宋体" w:hAnsi="宋体"/>
                <w:color w:val="auto"/>
                <w:szCs w:val="21"/>
                <w:lang w:eastAsia="zh-CN"/>
              </w:rPr>
              <w:t>安全设施设计</w:t>
            </w:r>
            <w:r>
              <w:rPr>
                <w:rFonts w:hint="eastAsia" w:ascii="宋体" w:hAnsi="宋体"/>
                <w:color w:val="auto"/>
                <w:szCs w:val="21"/>
              </w:rPr>
              <w:t>》、《金属非金属矿山安全规程》</w:t>
            </w:r>
            <w:r>
              <w:rPr>
                <w:rFonts w:ascii="宋体" w:hAnsi="宋体"/>
                <w:color w:val="auto"/>
                <w:szCs w:val="21"/>
              </w:rPr>
              <w:t>GB16423-20</w:t>
            </w:r>
            <w:r>
              <w:rPr>
                <w:rFonts w:hint="eastAsia" w:ascii="宋体" w:hAnsi="宋体"/>
                <w:color w:val="auto"/>
                <w:szCs w:val="21"/>
              </w:rPr>
              <w:t>20</w:t>
            </w:r>
            <w:r>
              <w:rPr>
                <w:rFonts w:ascii="宋体" w:hAnsi="宋体"/>
                <w:color w:val="auto"/>
                <w:szCs w:val="21"/>
              </w:rPr>
              <w:t>第5.</w:t>
            </w:r>
            <w:r>
              <w:rPr>
                <w:rFonts w:hint="eastAsia" w:ascii="宋体" w:hAnsi="宋体"/>
                <w:color w:val="auto"/>
                <w:szCs w:val="21"/>
              </w:rPr>
              <w:t>4</w:t>
            </w:r>
            <w:r>
              <w:rPr>
                <w:rFonts w:ascii="宋体" w:hAnsi="宋体"/>
                <w:color w:val="auto"/>
                <w:szCs w:val="21"/>
              </w:rPr>
              <w:t>.2.</w:t>
            </w:r>
            <w:r>
              <w:rPr>
                <w:rFonts w:hint="eastAsia" w:ascii="宋体" w:hAnsi="宋体"/>
                <w:color w:val="auto"/>
                <w:szCs w:val="21"/>
              </w:rPr>
              <w:t>1</w:t>
            </w:r>
            <w:r>
              <w:rPr>
                <w:rFonts w:ascii="宋体" w:hAnsi="宋体"/>
                <w:color w:val="auto"/>
                <w:szCs w:val="21"/>
              </w:rPr>
              <w:t>条</w:t>
            </w:r>
          </w:p>
        </w:tc>
        <w:tc>
          <w:tcPr>
            <w:tcW w:w="1313" w:type="dxa"/>
            <w:noWrap w:val="0"/>
            <w:vAlign w:val="center"/>
          </w:tcPr>
          <w:p>
            <w:pPr>
              <w:wordWrap/>
              <w:topLinePunct w:val="0"/>
              <w:bidi w:val="0"/>
              <w:spacing w:line="240" w:lineRule="auto"/>
              <w:jc w:val="both"/>
              <w:textAlignment w:val="auto"/>
              <w:rPr>
                <w:rFonts w:ascii="宋体" w:hAnsi="宋体"/>
                <w:color w:val="auto"/>
                <w:szCs w:val="21"/>
              </w:rPr>
            </w:pPr>
            <w:r>
              <w:rPr>
                <w:rFonts w:hint="eastAsia" w:ascii="宋体" w:hAnsi="宋体"/>
                <w:color w:val="auto"/>
                <w:szCs w:val="21"/>
              </w:rPr>
              <w:t>不用自卸汽车运载易燃、易爆物品。</w:t>
            </w:r>
          </w:p>
        </w:tc>
        <w:tc>
          <w:tcPr>
            <w:tcW w:w="735"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3" w:hRule="atLeast"/>
        </w:trPr>
        <w:tc>
          <w:tcPr>
            <w:tcW w:w="542"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2</w:t>
            </w:r>
          </w:p>
        </w:tc>
        <w:tc>
          <w:tcPr>
            <w:tcW w:w="3531" w:type="dxa"/>
            <w:noWrap w:val="0"/>
            <w:vAlign w:val="center"/>
          </w:tcPr>
          <w:p>
            <w:pPr>
              <w:wordWrap/>
              <w:topLinePunct w:val="0"/>
              <w:bidi w:val="0"/>
              <w:spacing w:line="240" w:lineRule="auto"/>
              <w:jc w:val="both"/>
              <w:textAlignment w:val="auto"/>
              <w:rPr>
                <w:rFonts w:ascii="宋体" w:hAnsi="宋体"/>
                <w:color w:val="auto"/>
                <w:szCs w:val="21"/>
              </w:rPr>
            </w:pPr>
            <w:r>
              <w:rPr>
                <w:rFonts w:hint="eastAsia" w:ascii="宋体" w:hAnsi="宋体"/>
                <w:color w:val="auto"/>
                <w:szCs w:val="21"/>
              </w:rPr>
              <w:t>自卸汽车装载应遵守如下规定：停在铲装设备回转范围0.5ｍ以外；驾驶员不离开驾驶室，不将身体任何部位伸出驾驶室外；不在装载时检查、维护车辆。</w:t>
            </w:r>
          </w:p>
        </w:tc>
        <w:tc>
          <w:tcPr>
            <w:tcW w:w="2873" w:type="dxa"/>
            <w:noWrap w:val="0"/>
            <w:vAlign w:val="center"/>
          </w:tcPr>
          <w:p>
            <w:pPr>
              <w:wordWrap/>
              <w:topLinePunct w:val="0"/>
              <w:bidi w:val="0"/>
              <w:spacing w:line="240" w:lineRule="auto"/>
              <w:jc w:val="both"/>
              <w:textAlignment w:val="auto"/>
              <w:rPr>
                <w:rFonts w:ascii="宋体" w:hAnsi="宋体"/>
                <w:color w:val="auto"/>
                <w:szCs w:val="21"/>
              </w:rPr>
            </w:pPr>
            <w:r>
              <w:rPr>
                <w:rFonts w:hint="eastAsia" w:ascii="宋体" w:hAnsi="宋体"/>
                <w:color w:val="auto"/>
                <w:szCs w:val="21"/>
              </w:rPr>
              <w:t>《</w:t>
            </w:r>
            <w:r>
              <w:rPr>
                <w:rFonts w:hint="eastAsia" w:ascii="宋体" w:hAnsi="宋体"/>
                <w:color w:val="auto"/>
                <w:szCs w:val="21"/>
                <w:lang w:eastAsia="zh-CN"/>
              </w:rPr>
              <w:t>安全设施设计</w:t>
            </w:r>
            <w:r>
              <w:rPr>
                <w:rFonts w:hint="eastAsia" w:ascii="宋体" w:hAnsi="宋体"/>
                <w:color w:val="auto"/>
                <w:szCs w:val="21"/>
              </w:rPr>
              <w:t>》、《金属非金属矿山安全规程》</w:t>
            </w:r>
            <w:r>
              <w:rPr>
                <w:rFonts w:ascii="宋体" w:hAnsi="宋体"/>
                <w:color w:val="auto"/>
                <w:szCs w:val="21"/>
              </w:rPr>
              <w:t>GB16423-20</w:t>
            </w:r>
            <w:r>
              <w:rPr>
                <w:rFonts w:hint="eastAsia" w:ascii="宋体" w:hAnsi="宋体"/>
                <w:color w:val="auto"/>
                <w:szCs w:val="21"/>
              </w:rPr>
              <w:t>20</w:t>
            </w:r>
            <w:r>
              <w:rPr>
                <w:rFonts w:ascii="宋体" w:hAnsi="宋体"/>
                <w:color w:val="auto"/>
                <w:szCs w:val="21"/>
              </w:rPr>
              <w:t>第5.</w:t>
            </w:r>
            <w:r>
              <w:rPr>
                <w:rFonts w:hint="eastAsia" w:ascii="宋体" w:hAnsi="宋体"/>
                <w:color w:val="auto"/>
                <w:szCs w:val="21"/>
              </w:rPr>
              <w:t>4</w:t>
            </w:r>
            <w:r>
              <w:rPr>
                <w:rFonts w:ascii="宋体" w:hAnsi="宋体"/>
                <w:color w:val="auto"/>
                <w:szCs w:val="21"/>
              </w:rPr>
              <w:t>.2.</w:t>
            </w:r>
            <w:r>
              <w:rPr>
                <w:rFonts w:hint="eastAsia" w:ascii="宋体" w:hAnsi="宋体"/>
                <w:color w:val="auto"/>
                <w:szCs w:val="21"/>
              </w:rPr>
              <w:t>2</w:t>
            </w:r>
            <w:r>
              <w:rPr>
                <w:rFonts w:ascii="宋体" w:hAnsi="宋体"/>
                <w:color w:val="auto"/>
                <w:szCs w:val="21"/>
              </w:rPr>
              <w:t>条</w:t>
            </w:r>
          </w:p>
        </w:tc>
        <w:tc>
          <w:tcPr>
            <w:tcW w:w="1313" w:type="dxa"/>
            <w:noWrap w:val="0"/>
            <w:vAlign w:val="center"/>
          </w:tcPr>
          <w:p>
            <w:pPr>
              <w:wordWrap/>
              <w:topLinePunct w:val="0"/>
              <w:bidi w:val="0"/>
              <w:spacing w:line="240" w:lineRule="auto"/>
              <w:jc w:val="both"/>
              <w:textAlignment w:val="auto"/>
              <w:rPr>
                <w:rFonts w:ascii="宋体" w:hAnsi="宋体"/>
                <w:color w:val="auto"/>
                <w:szCs w:val="21"/>
              </w:rPr>
            </w:pPr>
            <w:r>
              <w:rPr>
                <w:rFonts w:hint="eastAsia" w:ascii="宋体" w:hAnsi="宋体"/>
                <w:color w:val="auto"/>
                <w:szCs w:val="21"/>
              </w:rPr>
              <w:t>按作业规程执行。</w:t>
            </w:r>
          </w:p>
        </w:tc>
        <w:tc>
          <w:tcPr>
            <w:tcW w:w="735"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9" w:hRule="atLeast"/>
        </w:trPr>
        <w:tc>
          <w:tcPr>
            <w:tcW w:w="542"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3</w:t>
            </w:r>
          </w:p>
        </w:tc>
        <w:tc>
          <w:tcPr>
            <w:tcW w:w="3531" w:type="dxa"/>
            <w:noWrap w:val="0"/>
            <w:vAlign w:val="center"/>
          </w:tcPr>
          <w:p>
            <w:pPr>
              <w:wordWrap/>
              <w:topLinePunct w:val="0"/>
              <w:bidi w:val="0"/>
              <w:spacing w:line="240" w:lineRule="auto"/>
              <w:jc w:val="both"/>
              <w:textAlignment w:val="auto"/>
              <w:rPr>
                <w:rFonts w:ascii="宋体" w:hAnsi="宋体"/>
                <w:color w:val="auto"/>
                <w:szCs w:val="21"/>
              </w:rPr>
            </w:pPr>
            <w:r>
              <w:rPr>
                <w:rFonts w:hint="eastAsia" w:ascii="宋体" w:hAnsi="宋体"/>
                <w:color w:val="auto"/>
                <w:szCs w:val="21"/>
              </w:rPr>
              <w:t>双车道的路面宽度，应保证会车安全。主要运输道路的急弯、陡坡、危险地段应设置警示标志</w:t>
            </w:r>
          </w:p>
        </w:tc>
        <w:tc>
          <w:tcPr>
            <w:tcW w:w="2873" w:type="dxa"/>
            <w:noWrap w:val="0"/>
            <w:vAlign w:val="center"/>
          </w:tcPr>
          <w:p>
            <w:pPr>
              <w:wordWrap/>
              <w:topLinePunct w:val="0"/>
              <w:bidi w:val="0"/>
              <w:spacing w:line="240" w:lineRule="auto"/>
              <w:jc w:val="both"/>
              <w:textAlignment w:val="auto"/>
              <w:rPr>
                <w:rFonts w:ascii="宋体" w:hAnsi="宋体"/>
                <w:color w:val="auto"/>
                <w:szCs w:val="21"/>
              </w:rPr>
            </w:pPr>
            <w:r>
              <w:rPr>
                <w:rFonts w:hint="eastAsia" w:ascii="宋体" w:hAnsi="宋体"/>
                <w:color w:val="auto"/>
                <w:szCs w:val="21"/>
              </w:rPr>
              <w:t>《</w:t>
            </w:r>
            <w:r>
              <w:rPr>
                <w:rFonts w:hint="eastAsia" w:ascii="宋体" w:hAnsi="宋体"/>
                <w:color w:val="auto"/>
                <w:szCs w:val="21"/>
                <w:lang w:eastAsia="zh-CN"/>
              </w:rPr>
              <w:t>安全设施设计</w:t>
            </w:r>
            <w:r>
              <w:rPr>
                <w:rFonts w:hint="eastAsia" w:ascii="宋体" w:hAnsi="宋体"/>
                <w:color w:val="auto"/>
                <w:szCs w:val="21"/>
              </w:rPr>
              <w:t>》、《金属非金属矿山安全规程》</w:t>
            </w:r>
            <w:r>
              <w:rPr>
                <w:rFonts w:ascii="宋体" w:hAnsi="宋体"/>
                <w:color w:val="auto"/>
                <w:szCs w:val="21"/>
              </w:rPr>
              <w:t>GB16423-20</w:t>
            </w:r>
            <w:r>
              <w:rPr>
                <w:rFonts w:hint="eastAsia" w:ascii="宋体" w:hAnsi="宋体"/>
                <w:color w:val="auto"/>
                <w:szCs w:val="21"/>
              </w:rPr>
              <w:t>20</w:t>
            </w:r>
            <w:r>
              <w:rPr>
                <w:rFonts w:ascii="宋体" w:hAnsi="宋体"/>
                <w:color w:val="auto"/>
                <w:szCs w:val="21"/>
              </w:rPr>
              <w:t>第5.</w:t>
            </w:r>
            <w:r>
              <w:rPr>
                <w:rFonts w:hint="eastAsia" w:ascii="宋体" w:hAnsi="宋体"/>
                <w:color w:val="auto"/>
                <w:szCs w:val="21"/>
              </w:rPr>
              <w:t>4</w:t>
            </w:r>
            <w:r>
              <w:rPr>
                <w:rFonts w:ascii="宋体" w:hAnsi="宋体"/>
                <w:color w:val="auto"/>
                <w:szCs w:val="21"/>
              </w:rPr>
              <w:t>.2.</w:t>
            </w:r>
            <w:r>
              <w:rPr>
                <w:rFonts w:hint="eastAsia" w:ascii="宋体" w:hAnsi="宋体"/>
                <w:color w:val="auto"/>
                <w:szCs w:val="21"/>
              </w:rPr>
              <w:t>3</w:t>
            </w:r>
            <w:r>
              <w:rPr>
                <w:rFonts w:ascii="宋体" w:hAnsi="宋体"/>
                <w:color w:val="auto"/>
                <w:szCs w:val="21"/>
              </w:rPr>
              <w:t>条</w:t>
            </w:r>
          </w:p>
        </w:tc>
        <w:tc>
          <w:tcPr>
            <w:tcW w:w="1313" w:type="dxa"/>
            <w:noWrap w:val="0"/>
            <w:vAlign w:val="center"/>
          </w:tcPr>
          <w:p>
            <w:pPr>
              <w:wordWrap/>
              <w:topLinePunct w:val="0"/>
              <w:bidi w:val="0"/>
              <w:adjustRightInd w:val="0"/>
              <w:snapToGrid w:val="0"/>
              <w:spacing w:line="240" w:lineRule="auto"/>
              <w:jc w:val="both"/>
              <w:textAlignment w:val="auto"/>
              <w:rPr>
                <w:rFonts w:ascii="宋体" w:hAnsi="宋体"/>
                <w:snapToGrid w:val="0"/>
                <w:color w:val="auto"/>
                <w:kern w:val="0"/>
                <w:szCs w:val="21"/>
              </w:rPr>
            </w:pPr>
            <w:r>
              <w:rPr>
                <w:rFonts w:hint="eastAsia" w:ascii="宋体" w:hAnsi="宋体"/>
                <w:snapToGrid w:val="0"/>
                <w:color w:val="auto"/>
                <w:kern w:val="0"/>
                <w:szCs w:val="21"/>
              </w:rPr>
              <w:t>危险路段</w:t>
            </w:r>
            <w:r>
              <w:rPr>
                <w:rFonts w:hint="eastAsia" w:ascii="宋体" w:hAnsi="宋体"/>
                <w:snapToGrid w:val="0"/>
                <w:color w:val="auto"/>
                <w:kern w:val="0"/>
                <w:szCs w:val="21"/>
                <w:lang w:val="en-US" w:eastAsia="zh-CN"/>
              </w:rPr>
              <w:t>未</w:t>
            </w:r>
            <w:r>
              <w:rPr>
                <w:rFonts w:hint="eastAsia" w:ascii="宋体" w:hAnsi="宋体"/>
                <w:snapToGrid w:val="0"/>
                <w:color w:val="auto"/>
                <w:kern w:val="0"/>
                <w:szCs w:val="21"/>
              </w:rPr>
              <w:t>设置安全警示标志。</w:t>
            </w:r>
          </w:p>
        </w:tc>
        <w:tc>
          <w:tcPr>
            <w:tcW w:w="735" w:type="dxa"/>
            <w:noWrap w:val="0"/>
            <w:vAlign w:val="center"/>
          </w:tcPr>
          <w:p>
            <w:pPr>
              <w:wordWrap/>
              <w:topLinePunct w:val="0"/>
              <w:bidi w:val="0"/>
              <w:spacing w:line="240" w:lineRule="auto"/>
              <w:jc w:val="center"/>
              <w:textAlignment w:val="auto"/>
              <w:rPr>
                <w:rFonts w:ascii="宋体" w:hAnsi="宋体"/>
                <w:color w:val="auto"/>
                <w:szCs w:val="21"/>
              </w:rPr>
            </w:pPr>
            <w:r>
              <w:rPr>
                <w:rFonts w:hint="eastAsia" w:ascii="宋体" w:hAnsi="宋体"/>
                <w:color w:val="auto"/>
                <w:szCs w:val="21"/>
                <w:lang w:val="en-US" w:eastAsia="zh-CN"/>
              </w:rPr>
              <w:t>不</w:t>
            </w:r>
            <w:r>
              <w:rPr>
                <w:rFonts w:hint="eastAsia"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4" w:hRule="atLeast"/>
        </w:trPr>
        <w:tc>
          <w:tcPr>
            <w:tcW w:w="542" w:type="dxa"/>
            <w:noWrap w:val="0"/>
            <w:vAlign w:val="center"/>
          </w:tcPr>
          <w:p>
            <w:pPr>
              <w:wordWrap/>
              <w:topLinePunct w:val="0"/>
              <w:bidi w:val="0"/>
              <w:spacing w:line="240" w:lineRule="auto"/>
              <w:jc w:val="center"/>
              <w:textAlignment w:val="auto"/>
              <w:rPr>
                <w:rFonts w:hint="eastAsia" w:ascii="宋体" w:hAnsi="宋体" w:eastAsia="宋体"/>
                <w:color w:val="auto"/>
                <w:szCs w:val="21"/>
                <w:lang w:eastAsia="zh-CN"/>
              </w:rPr>
            </w:pPr>
            <w:r>
              <w:rPr>
                <w:rFonts w:hint="eastAsia" w:ascii="宋体" w:hAnsi="宋体"/>
                <w:color w:val="auto"/>
                <w:szCs w:val="21"/>
                <w:lang w:val="en-US" w:eastAsia="zh-CN"/>
              </w:rPr>
              <w:t>4</w:t>
            </w:r>
          </w:p>
        </w:tc>
        <w:tc>
          <w:tcPr>
            <w:tcW w:w="3531" w:type="dxa"/>
            <w:noWrap w:val="0"/>
            <w:vAlign w:val="center"/>
          </w:tcPr>
          <w:p>
            <w:pPr>
              <w:widowControl/>
              <w:wordWrap/>
              <w:topLinePunct w:val="0"/>
              <w:bidi w:val="0"/>
              <w:spacing w:line="240" w:lineRule="auto"/>
              <w:jc w:val="both"/>
              <w:textAlignment w:val="auto"/>
              <w:outlineLvl w:val="4"/>
              <w:rPr>
                <w:rFonts w:hint="eastAsia" w:ascii="宋体" w:hAnsi="宋体" w:eastAsia="宋体"/>
                <w:color w:val="auto"/>
                <w:kern w:val="0"/>
                <w:szCs w:val="21"/>
                <w:lang w:eastAsia="zh-CN"/>
              </w:rPr>
            </w:pPr>
            <w:r>
              <w:rPr>
                <w:rFonts w:hint="eastAsia" w:ascii="宋体" w:hAnsi="宋体"/>
                <w:color w:val="auto"/>
                <w:kern w:val="0"/>
                <w:szCs w:val="21"/>
              </w:rPr>
              <w:t>汽车运行应遵守下列规定：驾驶室外禁止乘人；运行时不升降车斗；不采用溜车方式发动车辆；不空挡滑行；不弯道超车；下坡车速不超过25km／ｈ；不在主运输道路和坡道上停车；不在供电线路下停车；拖挂车辆行驶时采取可靠的安全措施，并有专人指挥；通过道口之前驾驶员减速瞭望，确认安全后再通过；不超载运行。</w:t>
            </w:r>
          </w:p>
        </w:tc>
        <w:tc>
          <w:tcPr>
            <w:tcW w:w="2873" w:type="dxa"/>
            <w:noWrap w:val="0"/>
            <w:vAlign w:val="center"/>
          </w:tcPr>
          <w:p>
            <w:pPr>
              <w:wordWrap/>
              <w:topLinePunct w:val="0"/>
              <w:bidi w:val="0"/>
              <w:spacing w:line="240" w:lineRule="auto"/>
              <w:jc w:val="both"/>
              <w:textAlignment w:val="auto"/>
              <w:rPr>
                <w:rFonts w:ascii="宋体" w:hAnsi="宋体"/>
                <w:color w:val="auto"/>
                <w:szCs w:val="21"/>
              </w:rPr>
            </w:pPr>
            <w:r>
              <w:rPr>
                <w:rFonts w:hint="eastAsia" w:ascii="宋体" w:hAnsi="宋体"/>
                <w:color w:val="auto"/>
                <w:szCs w:val="21"/>
              </w:rPr>
              <w:t>《</w:t>
            </w:r>
            <w:r>
              <w:rPr>
                <w:rFonts w:hint="eastAsia" w:ascii="宋体" w:hAnsi="宋体"/>
                <w:color w:val="auto"/>
                <w:szCs w:val="21"/>
                <w:lang w:eastAsia="zh-CN"/>
              </w:rPr>
              <w:t>安全设施设计</w:t>
            </w:r>
            <w:r>
              <w:rPr>
                <w:rFonts w:hint="eastAsia" w:ascii="宋体" w:hAnsi="宋体"/>
                <w:color w:val="auto"/>
                <w:szCs w:val="21"/>
              </w:rPr>
              <w:t>》、《金属非金属矿山安全规程》</w:t>
            </w:r>
            <w:r>
              <w:rPr>
                <w:rFonts w:ascii="宋体" w:hAnsi="宋体"/>
                <w:color w:val="auto"/>
                <w:szCs w:val="21"/>
              </w:rPr>
              <w:t>GB16423-20</w:t>
            </w:r>
            <w:r>
              <w:rPr>
                <w:rFonts w:hint="eastAsia" w:ascii="宋体" w:hAnsi="宋体"/>
                <w:color w:val="auto"/>
                <w:szCs w:val="21"/>
              </w:rPr>
              <w:t>20</w:t>
            </w:r>
            <w:r>
              <w:rPr>
                <w:rFonts w:ascii="宋体" w:hAnsi="宋体"/>
                <w:color w:val="auto"/>
                <w:szCs w:val="21"/>
              </w:rPr>
              <w:t>第5.</w:t>
            </w:r>
            <w:r>
              <w:rPr>
                <w:rFonts w:hint="eastAsia" w:ascii="宋体" w:hAnsi="宋体"/>
                <w:color w:val="auto"/>
                <w:szCs w:val="21"/>
              </w:rPr>
              <w:t>4</w:t>
            </w:r>
            <w:r>
              <w:rPr>
                <w:rFonts w:ascii="宋体" w:hAnsi="宋体"/>
                <w:color w:val="auto"/>
                <w:szCs w:val="21"/>
              </w:rPr>
              <w:t>.2.</w:t>
            </w:r>
            <w:r>
              <w:rPr>
                <w:rFonts w:hint="eastAsia" w:ascii="宋体" w:hAnsi="宋体"/>
                <w:color w:val="auto"/>
                <w:szCs w:val="21"/>
              </w:rPr>
              <w:t>6</w:t>
            </w:r>
            <w:r>
              <w:rPr>
                <w:rFonts w:ascii="宋体" w:hAnsi="宋体"/>
                <w:color w:val="auto"/>
                <w:szCs w:val="21"/>
              </w:rPr>
              <w:t>条</w:t>
            </w:r>
          </w:p>
        </w:tc>
        <w:tc>
          <w:tcPr>
            <w:tcW w:w="1313" w:type="dxa"/>
            <w:noWrap w:val="0"/>
            <w:vAlign w:val="center"/>
          </w:tcPr>
          <w:p>
            <w:pPr>
              <w:wordWrap/>
              <w:topLinePunct w:val="0"/>
              <w:bidi w:val="0"/>
              <w:adjustRightInd w:val="0"/>
              <w:snapToGrid w:val="0"/>
              <w:spacing w:line="240" w:lineRule="auto"/>
              <w:jc w:val="both"/>
              <w:textAlignment w:val="auto"/>
              <w:rPr>
                <w:rFonts w:ascii="宋体" w:hAnsi="宋体"/>
                <w:snapToGrid w:val="0"/>
                <w:color w:val="auto"/>
                <w:kern w:val="0"/>
                <w:szCs w:val="21"/>
              </w:rPr>
            </w:pPr>
            <w:r>
              <w:rPr>
                <w:rFonts w:hint="eastAsia" w:ascii="宋体" w:hAnsi="宋体"/>
                <w:color w:val="auto"/>
                <w:szCs w:val="21"/>
              </w:rPr>
              <w:t>按作业规程执行。</w:t>
            </w:r>
          </w:p>
        </w:tc>
        <w:tc>
          <w:tcPr>
            <w:tcW w:w="735"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8" w:hRule="atLeast"/>
        </w:trPr>
        <w:tc>
          <w:tcPr>
            <w:tcW w:w="542" w:type="dxa"/>
            <w:noWrap w:val="0"/>
            <w:vAlign w:val="center"/>
          </w:tcPr>
          <w:p>
            <w:pPr>
              <w:wordWrap/>
              <w:topLinePunct w:val="0"/>
              <w:bidi w:val="0"/>
              <w:spacing w:line="240" w:lineRule="auto"/>
              <w:jc w:val="center"/>
              <w:textAlignment w:val="auto"/>
              <w:rPr>
                <w:rFonts w:hint="eastAsia" w:ascii="宋体" w:hAnsi="宋体" w:eastAsia="宋体"/>
                <w:color w:val="auto"/>
                <w:szCs w:val="21"/>
                <w:lang w:eastAsia="zh-CN"/>
              </w:rPr>
            </w:pPr>
            <w:r>
              <w:rPr>
                <w:rFonts w:hint="eastAsia" w:ascii="宋体" w:hAnsi="宋体"/>
                <w:color w:val="auto"/>
                <w:szCs w:val="21"/>
                <w:lang w:val="en-US" w:eastAsia="zh-CN"/>
              </w:rPr>
              <w:t>5</w:t>
            </w:r>
          </w:p>
        </w:tc>
        <w:tc>
          <w:tcPr>
            <w:tcW w:w="3531" w:type="dxa"/>
            <w:noWrap w:val="0"/>
            <w:vAlign w:val="center"/>
          </w:tcPr>
          <w:p>
            <w:pPr>
              <w:widowControl/>
              <w:wordWrap/>
              <w:topLinePunct w:val="0"/>
              <w:bidi w:val="0"/>
              <w:spacing w:line="240" w:lineRule="auto"/>
              <w:jc w:val="both"/>
              <w:textAlignment w:val="auto"/>
              <w:outlineLvl w:val="4"/>
              <w:rPr>
                <w:rFonts w:ascii="宋体" w:hAnsi="宋体"/>
                <w:color w:val="auto"/>
                <w:kern w:val="0"/>
                <w:szCs w:val="21"/>
              </w:rPr>
            </w:pPr>
            <w:r>
              <w:rPr>
                <w:rFonts w:hint="eastAsia" w:ascii="宋体" w:hAnsi="宋体"/>
                <w:color w:val="auto"/>
                <w:kern w:val="0"/>
                <w:szCs w:val="21"/>
              </w:rPr>
              <w:t>现场检修车辆时，应采取可靠的安全措施。</w:t>
            </w:r>
          </w:p>
        </w:tc>
        <w:tc>
          <w:tcPr>
            <w:tcW w:w="2873" w:type="dxa"/>
            <w:noWrap w:val="0"/>
            <w:vAlign w:val="center"/>
          </w:tcPr>
          <w:p>
            <w:pPr>
              <w:wordWrap/>
              <w:topLinePunct w:val="0"/>
              <w:bidi w:val="0"/>
              <w:spacing w:line="240" w:lineRule="auto"/>
              <w:jc w:val="both"/>
              <w:textAlignment w:val="auto"/>
              <w:rPr>
                <w:rFonts w:ascii="宋体" w:hAnsi="宋体"/>
                <w:color w:val="auto"/>
                <w:szCs w:val="21"/>
              </w:rPr>
            </w:pPr>
            <w:r>
              <w:rPr>
                <w:rFonts w:hint="eastAsia" w:ascii="宋体" w:hAnsi="宋体"/>
                <w:color w:val="auto"/>
                <w:szCs w:val="21"/>
              </w:rPr>
              <w:t>《</w:t>
            </w:r>
            <w:r>
              <w:rPr>
                <w:rFonts w:hint="eastAsia" w:ascii="宋体" w:hAnsi="宋体"/>
                <w:color w:val="auto"/>
                <w:szCs w:val="21"/>
                <w:lang w:eastAsia="zh-CN"/>
              </w:rPr>
              <w:t>安全设施设计</w:t>
            </w:r>
            <w:r>
              <w:rPr>
                <w:rFonts w:hint="eastAsia" w:ascii="宋体" w:hAnsi="宋体"/>
                <w:color w:val="auto"/>
                <w:szCs w:val="21"/>
              </w:rPr>
              <w:t>》、《金属非金属矿山安全规程》</w:t>
            </w:r>
            <w:r>
              <w:rPr>
                <w:rFonts w:ascii="宋体" w:hAnsi="宋体"/>
                <w:color w:val="auto"/>
                <w:szCs w:val="21"/>
              </w:rPr>
              <w:t>GB16423-20</w:t>
            </w:r>
            <w:r>
              <w:rPr>
                <w:rFonts w:hint="eastAsia" w:ascii="宋体" w:hAnsi="宋体"/>
                <w:color w:val="auto"/>
                <w:szCs w:val="21"/>
              </w:rPr>
              <w:t>20</w:t>
            </w:r>
            <w:r>
              <w:rPr>
                <w:rFonts w:ascii="宋体" w:hAnsi="宋体"/>
                <w:color w:val="auto"/>
                <w:szCs w:val="21"/>
              </w:rPr>
              <w:t>第5.</w:t>
            </w:r>
            <w:r>
              <w:rPr>
                <w:rFonts w:hint="eastAsia" w:ascii="宋体" w:hAnsi="宋体"/>
                <w:color w:val="auto"/>
                <w:szCs w:val="21"/>
              </w:rPr>
              <w:t>4</w:t>
            </w:r>
            <w:r>
              <w:rPr>
                <w:rFonts w:ascii="宋体" w:hAnsi="宋体"/>
                <w:color w:val="auto"/>
                <w:szCs w:val="21"/>
              </w:rPr>
              <w:t>.2.</w:t>
            </w:r>
            <w:r>
              <w:rPr>
                <w:rFonts w:hint="eastAsia" w:ascii="宋体" w:hAnsi="宋体"/>
                <w:color w:val="auto"/>
                <w:szCs w:val="21"/>
              </w:rPr>
              <w:t>7</w:t>
            </w:r>
            <w:r>
              <w:rPr>
                <w:rFonts w:ascii="宋体" w:hAnsi="宋体"/>
                <w:color w:val="auto"/>
                <w:szCs w:val="21"/>
              </w:rPr>
              <w:t>条</w:t>
            </w:r>
          </w:p>
        </w:tc>
        <w:tc>
          <w:tcPr>
            <w:tcW w:w="1313" w:type="dxa"/>
            <w:noWrap w:val="0"/>
            <w:vAlign w:val="center"/>
          </w:tcPr>
          <w:p>
            <w:pPr>
              <w:wordWrap/>
              <w:topLinePunct w:val="0"/>
              <w:bidi w:val="0"/>
              <w:spacing w:line="240" w:lineRule="auto"/>
              <w:jc w:val="both"/>
              <w:textAlignment w:val="auto"/>
              <w:rPr>
                <w:rFonts w:ascii="宋体" w:hAnsi="宋体"/>
                <w:color w:val="auto"/>
                <w:szCs w:val="21"/>
              </w:rPr>
            </w:pPr>
            <w:r>
              <w:rPr>
                <w:rFonts w:hint="eastAsia" w:ascii="宋体" w:hAnsi="宋体"/>
                <w:color w:val="auto"/>
                <w:szCs w:val="21"/>
              </w:rPr>
              <w:t>按作业规程执行。</w:t>
            </w:r>
          </w:p>
        </w:tc>
        <w:tc>
          <w:tcPr>
            <w:tcW w:w="735"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9" w:hRule="atLeast"/>
        </w:trPr>
        <w:tc>
          <w:tcPr>
            <w:tcW w:w="542" w:type="dxa"/>
            <w:noWrap w:val="0"/>
            <w:vAlign w:val="center"/>
          </w:tcPr>
          <w:p>
            <w:pPr>
              <w:wordWrap/>
              <w:topLinePunct w:val="0"/>
              <w:bidi w:val="0"/>
              <w:spacing w:line="240" w:lineRule="auto"/>
              <w:jc w:val="center"/>
              <w:textAlignment w:val="auto"/>
              <w:rPr>
                <w:rFonts w:hint="eastAsia" w:ascii="宋体" w:hAnsi="宋体" w:eastAsia="宋体"/>
                <w:color w:val="auto"/>
                <w:szCs w:val="21"/>
                <w:lang w:eastAsia="zh-CN"/>
              </w:rPr>
            </w:pPr>
            <w:r>
              <w:rPr>
                <w:rFonts w:hint="eastAsia" w:ascii="宋体" w:hAnsi="宋体"/>
                <w:color w:val="auto"/>
                <w:szCs w:val="21"/>
                <w:lang w:val="en-US" w:eastAsia="zh-CN"/>
              </w:rPr>
              <w:t>6</w:t>
            </w:r>
          </w:p>
        </w:tc>
        <w:tc>
          <w:tcPr>
            <w:tcW w:w="3531" w:type="dxa"/>
            <w:noWrap w:val="0"/>
            <w:vAlign w:val="center"/>
          </w:tcPr>
          <w:p>
            <w:pPr>
              <w:widowControl/>
              <w:wordWrap/>
              <w:topLinePunct w:val="0"/>
              <w:bidi w:val="0"/>
              <w:spacing w:line="240" w:lineRule="auto"/>
              <w:jc w:val="both"/>
              <w:textAlignment w:val="auto"/>
              <w:outlineLvl w:val="4"/>
              <w:rPr>
                <w:rFonts w:ascii="宋体" w:hAnsi="宋体"/>
                <w:color w:val="auto"/>
                <w:kern w:val="0"/>
                <w:szCs w:val="21"/>
              </w:rPr>
            </w:pPr>
            <w:r>
              <w:rPr>
                <w:rFonts w:hint="eastAsia" w:ascii="宋体" w:hAnsi="宋体"/>
                <w:color w:val="auto"/>
                <w:kern w:val="0"/>
                <w:szCs w:val="21"/>
              </w:rPr>
              <w:t>夜间装卸车应有良好的照明条件。</w:t>
            </w:r>
          </w:p>
        </w:tc>
        <w:tc>
          <w:tcPr>
            <w:tcW w:w="2873" w:type="dxa"/>
            <w:noWrap w:val="0"/>
            <w:vAlign w:val="center"/>
          </w:tcPr>
          <w:p>
            <w:pPr>
              <w:wordWrap/>
              <w:topLinePunct w:val="0"/>
              <w:bidi w:val="0"/>
              <w:spacing w:line="240" w:lineRule="auto"/>
              <w:jc w:val="both"/>
              <w:textAlignment w:val="auto"/>
              <w:rPr>
                <w:rFonts w:ascii="宋体" w:hAnsi="宋体"/>
                <w:color w:val="auto"/>
                <w:szCs w:val="21"/>
              </w:rPr>
            </w:pPr>
            <w:r>
              <w:rPr>
                <w:rFonts w:hint="eastAsia" w:ascii="宋体" w:hAnsi="宋体"/>
                <w:color w:val="auto"/>
                <w:szCs w:val="21"/>
              </w:rPr>
              <w:t>《</w:t>
            </w:r>
            <w:r>
              <w:rPr>
                <w:rFonts w:hint="eastAsia" w:ascii="宋体" w:hAnsi="宋体"/>
                <w:color w:val="auto"/>
                <w:szCs w:val="21"/>
                <w:lang w:eastAsia="zh-CN"/>
              </w:rPr>
              <w:t>安全设施设计</w:t>
            </w:r>
            <w:r>
              <w:rPr>
                <w:rFonts w:hint="eastAsia" w:ascii="宋体" w:hAnsi="宋体"/>
                <w:color w:val="auto"/>
                <w:szCs w:val="21"/>
              </w:rPr>
              <w:t>》、《金属非金属矿山安全规程》</w:t>
            </w:r>
            <w:r>
              <w:rPr>
                <w:rFonts w:ascii="宋体" w:hAnsi="宋体"/>
                <w:color w:val="auto"/>
                <w:szCs w:val="21"/>
              </w:rPr>
              <w:t>GB16423-20</w:t>
            </w:r>
            <w:r>
              <w:rPr>
                <w:rFonts w:hint="eastAsia" w:ascii="宋体" w:hAnsi="宋体"/>
                <w:color w:val="auto"/>
                <w:szCs w:val="21"/>
              </w:rPr>
              <w:t>20</w:t>
            </w:r>
            <w:r>
              <w:rPr>
                <w:rFonts w:ascii="宋体" w:hAnsi="宋体"/>
                <w:color w:val="auto"/>
                <w:szCs w:val="21"/>
              </w:rPr>
              <w:t>第5.</w:t>
            </w:r>
            <w:r>
              <w:rPr>
                <w:rFonts w:hint="eastAsia" w:ascii="宋体" w:hAnsi="宋体"/>
                <w:color w:val="auto"/>
                <w:szCs w:val="21"/>
              </w:rPr>
              <w:t>4</w:t>
            </w:r>
            <w:r>
              <w:rPr>
                <w:rFonts w:ascii="宋体" w:hAnsi="宋体"/>
                <w:color w:val="auto"/>
                <w:szCs w:val="21"/>
              </w:rPr>
              <w:t>.2.</w:t>
            </w:r>
            <w:r>
              <w:rPr>
                <w:rFonts w:hint="eastAsia" w:ascii="宋体" w:hAnsi="宋体"/>
                <w:color w:val="auto"/>
                <w:szCs w:val="21"/>
              </w:rPr>
              <w:t>8</w:t>
            </w:r>
            <w:r>
              <w:rPr>
                <w:rFonts w:ascii="宋体" w:hAnsi="宋体"/>
                <w:color w:val="auto"/>
                <w:szCs w:val="21"/>
              </w:rPr>
              <w:t>条</w:t>
            </w:r>
          </w:p>
        </w:tc>
        <w:tc>
          <w:tcPr>
            <w:tcW w:w="1313" w:type="dxa"/>
            <w:noWrap w:val="0"/>
            <w:vAlign w:val="center"/>
          </w:tcPr>
          <w:p>
            <w:pPr>
              <w:wordWrap/>
              <w:topLinePunct w:val="0"/>
              <w:bidi w:val="0"/>
              <w:adjustRightInd w:val="0"/>
              <w:snapToGrid w:val="0"/>
              <w:spacing w:line="240" w:lineRule="auto"/>
              <w:jc w:val="both"/>
              <w:textAlignment w:val="auto"/>
              <w:rPr>
                <w:rFonts w:hint="eastAsia" w:ascii="宋体" w:hAnsi="宋体" w:eastAsia="宋体"/>
                <w:snapToGrid w:val="0"/>
                <w:color w:val="auto"/>
                <w:kern w:val="0"/>
                <w:szCs w:val="21"/>
                <w:lang w:eastAsia="zh-CN"/>
              </w:rPr>
            </w:pPr>
            <w:r>
              <w:rPr>
                <w:bCs/>
                <w:szCs w:val="21"/>
              </w:rPr>
              <w:t>矿山白班作业</w:t>
            </w:r>
            <w:r>
              <w:rPr>
                <w:rFonts w:hint="eastAsia"/>
                <w:bCs/>
                <w:szCs w:val="21"/>
                <w:lang w:eastAsia="zh-CN"/>
              </w:rPr>
              <w:t>。</w:t>
            </w:r>
          </w:p>
        </w:tc>
        <w:tc>
          <w:tcPr>
            <w:tcW w:w="735"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23" w:hRule="atLeast"/>
        </w:trPr>
        <w:tc>
          <w:tcPr>
            <w:tcW w:w="542" w:type="dxa"/>
            <w:noWrap w:val="0"/>
            <w:vAlign w:val="center"/>
          </w:tcPr>
          <w:p>
            <w:pPr>
              <w:wordWrap/>
              <w:topLinePunct w:val="0"/>
              <w:bidi w:val="0"/>
              <w:spacing w:line="240" w:lineRule="auto"/>
              <w:jc w:val="center"/>
              <w:textAlignment w:val="auto"/>
              <w:rPr>
                <w:rFonts w:hint="eastAsia" w:ascii="宋体" w:hAnsi="宋体" w:eastAsia="宋体"/>
                <w:color w:val="auto"/>
                <w:szCs w:val="21"/>
                <w:lang w:eastAsia="zh-CN"/>
              </w:rPr>
            </w:pPr>
            <w:r>
              <w:rPr>
                <w:rFonts w:hint="eastAsia" w:ascii="宋体" w:hAnsi="宋体"/>
                <w:color w:val="auto"/>
                <w:szCs w:val="21"/>
                <w:lang w:val="en-US" w:eastAsia="zh-CN"/>
              </w:rPr>
              <w:t>7</w:t>
            </w:r>
          </w:p>
        </w:tc>
        <w:tc>
          <w:tcPr>
            <w:tcW w:w="3531" w:type="dxa"/>
            <w:noWrap w:val="0"/>
            <w:vAlign w:val="center"/>
          </w:tcPr>
          <w:p>
            <w:pPr>
              <w:widowControl/>
              <w:wordWrap/>
              <w:topLinePunct w:val="0"/>
              <w:bidi w:val="0"/>
              <w:spacing w:line="240" w:lineRule="auto"/>
              <w:jc w:val="both"/>
              <w:textAlignment w:val="auto"/>
              <w:outlineLvl w:val="4"/>
              <w:rPr>
                <w:rFonts w:hint="eastAsia" w:ascii="宋体" w:hAnsi="宋体"/>
                <w:color w:val="auto"/>
                <w:szCs w:val="21"/>
              </w:rPr>
            </w:pPr>
            <w:r>
              <w:rPr>
                <w:rFonts w:hint="eastAsia" w:ascii="宋体" w:hAnsi="宋体"/>
                <w:color w:val="auto"/>
                <w:kern w:val="0"/>
                <w:szCs w:val="21"/>
              </w:rPr>
              <w:t>雾霾或烟尘影响能见度时，应开启警示灯，靠右侧减速行驶，前后车间距应不小于30ｍ，视距不足30ｍ时，应靠右停车。冰雪或多雨季节，道路湿滑时，应有防滑措施并减速行驶，前后车距应不小于40ｍ。拖挂其他车辆时，应采取有效的安全措施，并有专人指挥。</w:t>
            </w:r>
          </w:p>
        </w:tc>
        <w:tc>
          <w:tcPr>
            <w:tcW w:w="2873" w:type="dxa"/>
            <w:noWrap w:val="0"/>
            <w:vAlign w:val="center"/>
          </w:tcPr>
          <w:p>
            <w:pPr>
              <w:wordWrap/>
              <w:topLinePunct w:val="0"/>
              <w:bidi w:val="0"/>
              <w:spacing w:line="240" w:lineRule="auto"/>
              <w:jc w:val="both"/>
              <w:textAlignment w:val="auto"/>
              <w:rPr>
                <w:rFonts w:ascii="宋体" w:hAnsi="宋体"/>
                <w:color w:val="auto"/>
                <w:szCs w:val="21"/>
              </w:rPr>
            </w:pPr>
            <w:r>
              <w:rPr>
                <w:rFonts w:hint="eastAsia" w:ascii="宋体" w:hAnsi="宋体"/>
                <w:color w:val="auto"/>
                <w:szCs w:val="21"/>
              </w:rPr>
              <w:t>《</w:t>
            </w:r>
            <w:r>
              <w:rPr>
                <w:rFonts w:hint="eastAsia" w:ascii="宋体" w:hAnsi="宋体"/>
                <w:color w:val="auto"/>
                <w:szCs w:val="21"/>
                <w:lang w:eastAsia="zh-CN"/>
              </w:rPr>
              <w:t>安全设施设计</w:t>
            </w:r>
            <w:r>
              <w:rPr>
                <w:rFonts w:hint="eastAsia" w:ascii="宋体" w:hAnsi="宋体"/>
                <w:color w:val="auto"/>
                <w:szCs w:val="21"/>
              </w:rPr>
              <w:t>》、《金属非金属矿山安全规程》</w:t>
            </w:r>
            <w:r>
              <w:rPr>
                <w:rFonts w:ascii="宋体" w:hAnsi="宋体"/>
                <w:color w:val="auto"/>
                <w:szCs w:val="21"/>
              </w:rPr>
              <w:t>GB16423-20</w:t>
            </w:r>
            <w:r>
              <w:rPr>
                <w:rFonts w:hint="eastAsia" w:ascii="宋体" w:hAnsi="宋体"/>
                <w:color w:val="auto"/>
                <w:szCs w:val="21"/>
              </w:rPr>
              <w:t>20</w:t>
            </w:r>
            <w:r>
              <w:rPr>
                <w:rFonts w:ascii="宋体" w:hAnsi="宋体"/>
                <w:color w:val="auto"/>
                <w:szCs w:val="21"/>
              </w:rPr>
              <w:t>第5.</w:t>
            </w:r>
            <w:r>
              <w:rPr>
                <w:rFonts w:hint="eastAsia" w:ascii="宋体" w:hAnsi="宋体"/>
                <w:color w:val="auto"/>
                <w:szCs w:val="21"/>
              </w:rPr>
              <w:t>4</w:t>
            </w:r>
            <w:r>
              <w:rPr>
                <w:rFonts w:ascii="宋体" w:hAnsi="宋体"/>
                <w:color w:val="auto"/>
                <w:szCs w:val="21"/>
              </w:rPr>
              <w:t>.2.</w:t>
            </w:r>
            <w:r>
              <w:rPr>
                <w:rFonts w:hint="eastAsia" w:ascii="宋体" w:hAnsi="宋体"/>
                <w:color w:val="auto"/>
                <w:szCs w:val="21"/>
              </w:rPr>
              <w:t>9</w:t>
            </w:r>
            <w:r>
              <w:rPr>
                <w:rFonts w:ascii="宋体" w:hAnsi="宋体"/>
                <w:color w:val="auto"/>
                <w:szCs w:val="21"/>
              </w:rPr>
              <w:t>条</w:t>
            </w:r>
          </w:p>
        </w:tc>
        <w:tc>
          <w:tcPr>
            <w:tcW w:w="1313" w:type="dxa"/>
            <w:noWrap w:val="0"/>
            <w:vAlign w:val="center"/>
          </w:tcPr>
          <w:p>
            <w:pPr>
              <w:wordWrap/>
              <w:topLinePunct w:val="0"/>
              <w:bidi w:val="0"/>
              <w:adjustRightInd w:val="0"/>
              <w:snapToGrid w:val="0"/>
              <w:spacing w:line="240" w:lineRule="auto"/>
              <w:jc w:val="both"/>
              <w:textAlignment w:val="auto"/>
              <w:rPr>
                <w:rFonts w:ascii="宋体" w:hAnsi="宋体"/>
                <w:snapToGrid w:val="0"/>
                <w:color w:val="auto"/>
                <w:kern w:val="0"/>
                <w:szCs w:val="21"/>
              </w:rPr>
            </w:pPr>
            <w:r>
              <w:rPr>
                <w:rFonts w:hint="eastAsia" w:ascii="宋体" w:hAnsi="宋体"/>
                <w:color w:val="auto"/>
                <w:szCs w:val="21"/>
              </w:rPr>
              <w:t>按作业规程执行。</w:t>
            </w:r>
          </w:p>
        </w:tc>
        <w:tc>
          <w:tcPr>
            <w:tcW w:w="735"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75" w:hRule="atLeast"/>
        </w:trPr>
        <w:tc>
          <w:tcPr>
            <w:tcW w:w="542" w:type="dxa"/>
            <w:noWrap w:val="0"/>
            <w:vAlign w:val="center"/>
          </w:tcPr>
          <w:p>
            <w:pPr>
              <w:wordWrap/>
              <w:topLinePunct w:val="0"/>
              <w:bidi w:val="0"/>
              <w:spacing w:line="240" w:lineRule="auto"/>
              <w:jc w:val="center"/>
              <w:textAlignment w:val="auto"/>
              <w:rPr>
                <w:rFonts w:hint="eastAsia" w:ascii="宋体" w:hAnsi="宋体" w:eastAsia="宋体"/>
                <w:color w:val="auto"/>
                <w:szCs w:val="21"/>
                <w:lang w:eastAsia="zh-CN"/>
              </w:rPr>
            </w:pPr>
            <w:r>
              <w:rPr>
                <w:rFonts w:hint="eastAsia" w:ascii="宋体" w:hAnsi="宋体"/>
                <w:color w:val="auto"/>
                <w:szCs w:val="21"/>
                <w:lang w:val="en-US" w:eastAsia="zh-CN"/>
              </w:rPr>
              <w:t>8</w:t>
            </w:r>
          </w:p>
        </w:tc>
        <w:tc>
          <w:tcPr>
            <w:tcW w:w="3531" w:type="dxa"/>
            <w:noWrap w:val="0"/>
            <w:vAlign w:val="center"/>
          </w:tcPr>
          <w:p>
            <w:pPr>
              <w:widowControl/>
              <w:wordWrap/>
              <w:topLinePunct w:val="0"/>
              <w:bidi w:val="0"/>
              <w:spacing w:line="240" w:lineRule="auto"/>
              <w:jc w:val="both"/>
              <w:textAlignment w:val="auto"/>
              <w:outlineLvl w:val="4"/>
              <w:rPr>
                <w:rFonts w:hint="eastAsia" w:ascii="宋体" w:hAnsi="宋体"/>
                <w:color w:val="auto"/>
                <w:kern w:val="0"/>
                <w:szCs w:val="21"/>
              </w:rPr>
            </w:pPr>
            <w:r>
              <w:rPr>
                <w:rFonts w:hint="eastAsia" w:ascii="宋体" w:hAnsi="宋体"/>
                <w:color w:val="auto"/>
                <w:kern w:val="0"/>
                <w:szCs w:val="21"/>
              </w:rPr>
              <w:t>公路设计等级为三级泥结碎石路面，路面宽度</w:t>
            </w:r>
            <w:r>
              <w:rPr>
                <w:rFonts w:hint="eastAsia" w:ascii="宋体" w:hAnsi="宋体"/>
                <w:color w:val="auto"/>
                <w:kern w:val="0"/>
                <w:szCs w:val="21"/>
                <w:lang w:val="en-US" w:eastAsia="zh-CN"/>
              </w:rPr>
              <w:t>4.5</w:t>
            </w:r>
            <w:r>
              <w:rPr>
                <w:rFonts w:hint="eastAsia" w:ascii="宋体" w:hAnsi="宋体"/>
                <w:color w:val="auto"/>
                <w:kern w:val="0"/>
                <w:szCs w:val="21"/>
              </w:rPr>
              <w:t>m，并在合理位置留出</w:t>
            </w:r>
            <w:r>
              <w:rPr>
                <w:rFonts w:hint="eastAsia" w:ascii="宋体" w:hAnsi="宋体"/>
                <w:color w:val="auto"/>
                <w:kern w:val="0"/>
                <w:szCs w:val="21"/>
                <w:lang w:eastAsia="zh-CN"/>
              </w:rPr>
              <w:t>错</w:t>
            </w:r>
            <w:r>
              <w:rPr>
                <w:rFonts w:hint="eastAsia" w:ascii="宋体" w:hAnsi="宋体"/>
                <w:color w:val="auto"/>
                <w:kern w:val="0"/>
                <w:szCs w:val="21"/>
              </w:rPr>
              <w:t>车道，最大纵坡</w:t>
            </w:r>
            <w:r>
              <w:rPr>
                <w:rFonts w:hint="eastAsia" w:ascii="宋体" w:hAnsi="宋体"/>
                <w:color w:val="auto"/>
                <w:kern w:val="0"/>
                <w:szCs w:val="21"/>
                <w:lang w:val="en-US" w:eastAsia="zh-CN"/>
              </w:rPr>
              <w:t>12</w:t>
            </w:r>
            <w:r>
              <w:rPr>
                <w:rFonts w:hint="eastAsia" w:ascii="宋体" w:hAnsi="宋体"/>
                <w:color w:val="auto"/>
                <w:kern w:val="0"/>
                <w:szCs w:val="21"/>
              </w:rPr>
              <w:t>％，最小圆曲线半径12m，垫层厚度35cm，基面层厚度20cm。计算最大行车速度</w:t>
            </w:r>
            <w:r>
              <w:rPr>
                <w:rFonts w:hint="eastAsia" w:ascii="宋体" w:hAnsi="宋体"/>
                <w:color w:val="auto"/>
                <w:kern w:val="0"/>
                <w:szCs w:val="21"/>
                <w:lang w:val="en-US" w:eastAsia="zh-CN"/>
              </w:rPr>
              <w:t>15</w:t>
            </w:r>
            <w:r>
              <w:rPr>
                <w:rFonts w:hint="eastAsia" w:ascii="宋体" w:hAnsi="宋体"/>
                <w:color w:val="auto"/>
                <w:kern w:val="0"/>
                <w:szCs w:val="21"/>
              </w:rPr>
              <w:t>km/h。</w:t>
            </w:r>
          </w:p>
        </w:tc>
        <w:tc>
          <w:tcPr>
            <w:tcW w:w="2873" w:type="dxa"/>
            <w:noWrap w:val="0"/>
            <w:vAlign w:val="center"/>
          </w:tcPr>
          <w:p>
            <w:pPr>
              <w:wordWrap/>
              <w:topLinePunct w:val="0"/>
              <w:bidi w:val="0"/>
              <w:spacing w:line="240" w:lineRule="auto"/>
              <w:jc w:val="both"/>
              <w:textAlignment w:val="auto"/>
              <w:rPr>
                <w:rFonts w:hint="eastAsia" w:ascii="宋体" w:hAnsi="宋体"/>
                <w:color w:val="auto"/>
                <w:szCs w:val="21"/>
              </w:rPr>
            </w:pPr>
            <w:r>
              <w:rPr>
                <w:rFonts w:hint="eastAsia" w:ascii="宋体" w:hAnsi="宋体"/>
                <w:color w:val="auto"/>
                <w:szCs w:val="21"/>
              </w:rPr>
              <w:t>《</w:t>
            </w:r>
            <w:r>
              <w:rPr>
                <w:rFonts w:hint="eastAsia" w:ascii="宋体" w:hAnsi="宋体"/>
                <w:color w:val="auto"/>
                <w:szCs w:val="21"/>
                <w:lang w:eastAsia="zh-CN"/>
              </w:rPr>
              <w:t>安全设施设计</w:t>
            </w:r>
            <w:r>
              <w:rPr>
                <w:rFonts w:hint="eastAsia" w:ascii="宋体" w:hAnsi="宋体"/>
                <w:color w:val="auto"/>
                <w:szCs w:val="21"/>
              </w:rPr>
              <w:t>》、《金属非金属矿山安全规程》</w:t>
            </w:r>
            <w:r>
              <w:rPr>
                <w:rFonts w:ascii="宋体" w:hAnsi="宋体"/>
                <w:color w:val="auto"/>
                <w:szCs w:val="21"/>
              </w:rPr>
              <w:t>GB16423-20</w:t>
            </w:r>
            <w:r>
              <w:rPr>
                <w:rFonts w:hint="eastAsia" w:ascii="宋体" w:hAnsi="宋体"/>
                <w:color w:val="auto"/>
                <w:szCs w:val="21"/>
              </w:rPr>
              <w:t>20</w:t>
            </w:r>
            <w:r>
              <w:rPr>
                <w:rFonts w:ascii="宋体" w:hAnsi="宋体"/>
                <w:color w:val="auto"/>
                <w:szCs w:val="21"/>
              </w:rPr>
              <w:t>第5.</w:t>
            </w:r>
            <w:r>
              <w:rPr>
                <w:rFonts w:hint="eastAsia" w:ascii="宋体" w:hAnsi="宋体"/>
                <w:color w:val="auto"/>
                <w:szCs w:val="21"/>
              </w:rPr>
              <w:t>4</w:t>
            </w:r>
            <w:r>
              <w:rPr>
                <w:rFonts w:ascii="宋体" w:hAnsi="宋体"/>
                <w:color w:val="auto"/>
                <w:szCs w:val="21"/>
              </w:rPr>
              <w:t>.2.</w:t>
            </w:r>
            <w:r>
              <w:rPr>
                <w:rFonts w:hint="eastAsia" w:ascii="宋体" w:hAnsi="宋体"/>
                <w:color w:val="auto"/>
                <w:szCs w:val="21"/>
              </w:rPr>
              <w:t>9</w:t>
            </w:r>
            <w:r>
              <w:rPr>
                <w:rFonts w:ascii="宋体" w:hAnsi="宋体"/>
                <w:color w:val="auto"/>
                <w:szCs w:val="21"/>
              </w:rPr>
              <w:t>条</w:t>
            </w:r>
          </w:p>
        </w:tc>
        <w:tc>
          <w:tcPr>
            <w:tcW w:w="1313" w:type="dxa"/>
            <w:noWrap w:val="0"/>
            <w:vAlign w:val="center"/>
          </w:tcPr>
          <w:p>
            <w:pPr>
              <w:wordWrap/>
              <w:topLinePunct w:val="0"/>
              <w:bidi w:val="0"/>
              <w:adjustRightInd w:val="0"/>
              <w:snapToGrid w:val="0"/>
              <w:spacing w:line="240" w:lineRule="auto"/>
              <w:jc w:val="both"/>
              <w:textAlignment w:val="auto"/>
              <w:rPr>
                <w:rFonts w:hint="eastAsia" w:ascii="宋体" w:hAnsi="宋体"/>
                <w:color w:val="auto"/>
                <w:szCs w:val="21"/>
              </w:rPr>
            </w:pPr>
            <w:r>
              <w:rPr>
                <w:rFonts w:hint="eastAsia" w:ascii="宋体" w:hAnsi="宋体"/>
                <w:color w:val="auto"/>
                <w:szCs w:val="21"/>
              </w:rPr>
              <w:t>已按照《</w:t>
            </w:r>
            <w:r>
              <w:rPr>
                <w:rFonts w:hint="eastAsia" w:ascii="宋体" w:hAnsi="宋体"/>
                <w:color w:val="auto"/>
                <w:szCs w:val="21"/>
                <w:lang w:eastAsia="zh-CN"/>
              </w:rPr>
              <w:t>安全设施设计</w:t>
            </w:r>
            <w:r>
              <w:rPr>
                <w:rFonts w:hint="eastAsia" w:ascii="宋体" w:hAnsi="宋体"/>
                <w:color w:val="auto"/>
                <w:szCs w:val="21"/>
              </w:rPr>
              <w:t>》要求建设。</w:t>
            </w:r>
          </w:p>
        </w:tc>
        <w:tc>
          <w:tcPr>
            <w:tcW w:w="735"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符合</w:t>
            </w:r>
          </w:p>
        </w:tc>
      </w:tr>
    </w:tbl>
    <w:p>
      <w:pPr>
        <w:pStyle w:val="5"/>
        <w:bidi w:val="0"/>
        <w:rPr>
          <w:rFonts w:hint="eastAsia"/>
          <w:lang w:eastAsia="zh-CN"/>
        </w:rPr>
      </w:pPr>
      <w:bookmarkStart w:id="396" w:name="_Toc102829722"/>
      <w:bookmarkStart w:id="397" w:name="_Toc14385"/>
      <w:bookmarkStart w:id="398" w:name="_Toc1925_WPSOffice_Level3"/>
      <w:bookmarkStart w:id="399" w:name="_Toc16840814"/>
      <w:bookmarkStart w:id="400" w:name="_Toc10191_WPSOffice_Level3"/>
      <w:r>
        <w:rPr>
          <w:rFonts w:hint="eastAsia"/>
          <w:lang w:eastAsia="zh-CN"/>
        </w:rPr>
        <w:t>4.3.2现状与设计吻合性分析</w:t>
      </w:r>
      <w:bookmarkEnd w:id="396"/>
      <w:bookmarkEnd w:id="397"/>
    </w:p>
    <w:p>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eastAsia="宋体" w:cs="宋体"/>
          <w:b/>
          <w:bCs/>
          <w:color w:val="auto"/>
          <w:kern w:val="0"/>
          <w:sz w:val="28"/>
          <w:szCs w:val="28"/>
          <w:lang w:val="zh-CN"/>
        </w:rPr>
      </w:pPr>
      <w:r>
        <w:rPr>
          <w:rFonts w:hint="eastAsia" w:ascii="宋体" w:hAnsi="宋体" w:cs="宋体"/>
          <w:b/>
          <w:bCs/>
          <w:color w:val="auto"/>
          <w:kern w:val="0"/>
          <w:sz w:val="28"/>
          <w:szCs w:val="28"/>
          <w:lang w:val="en-US" w:eastAsia="zh-CN"/>
        </w:rPr>
        <w:t>1、</w:t>
      </w:r>
      <w:r>
        <w:rPr>
          <w:rFonts w:hint="eastAsia" w:ascii="宋体" w:hAnsi="宋体" w:eastAsia="宋体" w:cs="宋体"/>
          <w:b/>
          <w:bCs/>
          <w:color w:val="auto"/>
          <w:kern w:val="0"/>
          <w:sz w:val="28"/>
          <w:szCs w:val="28"/>
          <w:lang w:val="zh-CN"/>
        </w:rPr>
        <w:t>设计情况</w:t>
      </w:r>
    </w:p>
    <w:p>
      <w:pPr>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4"/>
          <w14:textFill>
            <w14:solidFill>
              <w14:schemeClr w14:val="tx1"/>
            </w14:solidFill>
          </w14:textFill>
        </w:rPr>
      </w:pPr>
      <w:r>
        <w:rPr>
          <w:rFonts w:hint="eastAsia" w:ascii="宋体" w:hAnsi="宋体" w:eastAsia="宋体" w:cs="宋体"/>
          <w:color w:val="000000" w:themeColor="text1"/>
          <w:sz w:val="28"/>
          <w:szCs w:val="24"/>
          <w14:textFill>
            <w14:solidFill>
              <w14:schemeClr w14:val="tx1"/>
            </w14:solidFill>
          </w14:textFill>
        </w:rPr>
        <w:t>露天采场为山坡露天采场，采用自卸汽车运输</w:t>
      </w:r>
      <w:r>
        <w:rPr>
          <w:rFonts w:hint="eastAsia" w:ascii="宋体" w:hAnsi="宋体" w:eastAsia="宋体" w:cs="宋体"/>
          <w:color w:val="000000" w:themeColor="text1"/>
          <w:sz w:val="28"/>
          <w:szCs w:val="24"/>
          <w:lang w:eastAsia="zh-CN"/>
          <w14:textFill>
            <w14:solidFill>
              <w14:schemeClr w14:val="tx1"/>
            </w14:solidFill>
          </w14:textFill>
        </w:rPr>
        <w:t>，</w:t>
      </w:r>
      <w:r>
        <w:rPr>
          <w:rFonts w:hint="eastAsia" w:ascii="宋体" w:hAnsi="宋体" w:eastAsia="宋体" w:cs="宋体"/>
          <w:color w:val="000000" w:themeColor="text1"/>
          <w:sz w:val="28"/>
          <w:szCs w:val="24"/>
          <w14:textFill>
            <w14:solidFill>
              <w14:schemeClr w14:val="tx1"/>
            </w14:solidFill>
          </w14:textFill>
        </w:rPr>
        <w:t>配备5t自卸汽车2辆，汽车在工作面采用折返式倒车。公路设计等级为三级泥结碎石路面，公路最大纵坡度采用10%，单车道路面宽度4.5m，</w:t>
      </w:r>
      <w:r>
        <w:rPr>
          <w:rFonts w:hint="eastAsia" w:ascii="宋体" w:hAnsi="宋体" w:eastAsia="宋体" w:cs="宋体"/>
          <w:color w:val="000000" w:themeColor="text1"/>
          <w:sz w:val="28"/>
          <w:szCs w:val="24"/>
          <w:lang w:val="en-US" w:eastAsia="zh-CN"/>
          <w14:textFill>
            <w14:solidFill>
              <w14:schemeClr w14:val="tx1"/>
            </w14:solidFill>
          </w14:textFill>
        </w:rPr>
        <w:t>最小转弯半径15m，</w:t>
      </w:r>
      <w:r>
        <w:rPr>
          <w:rFonts w:hint="eastAsia" w:ascii="宋体" w:hAnsi="宋体" w:eastAsia="宋体" w:cs="宋体"/>
          <w:color w:val="000000" w:themeColor="text1"/>
          <w:sz w:val="28"/>
          <w:szCs w:val="24"/>
          <w14:textFill>
            <w14:solidFill>
              <w14:schemeClr w14:val="tx1"/>
            </w14:solidFill>
          </w14:textFill>
        </w:rPr>
        <w:t>矿石及废石土经汽车运输至矿石堆场。</w:t>
      </w:r>
    </w:p>
    <w:p>
      <w:pPr>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color w:val="000000" w:themeColor="text1"/>
          <w:sz w:val="28"/>
          <w:szCs w:val="24"/>
          <w:lang w:val="en-US" w:eastAsia="zh-CN"/>
          <w14:textFill>
            <w14:solidFill>
              <w14:schemeClr w14:val="tx1"/>
            </w14:solidFill>
          </w14:textFill>
        </w:rPr>
      </w:pPr>
      <w:r>
        <w:rPr>
          <w:rFonts w:hint="eastAsia" w:ascii="宋体" w:hAnsi="宋体" w:cs="宋体"/>
          <w:b/>
          <w:bCs/>
          <w:color w:val="000000" w:themeColor="text1"/>
          <w:sz w:val="28"/>
          <w:szCs w:val="24"/>
          <w:lang w:val="en-US" w:eastAsia="zh-CN"/>
          <w14:textFill>
            <w14:solidFill>
              <w14:schemeClr w14:val="tx1"/>
            </w14:solidFill>
          </w14:textFill>
        </w:rPr>
        <w:t>2、现状情况</w:t>
      </w:r>
    </w:p>
    <w:p>
      <w:pPr>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4"/>
          <w14:textFill>
            <w14:solidFill>
              <w14:schemeClr w14:val="tx1"/>
            </w14:solidFill>
          </w14:textFill>
        </w:rPr>
      </w:pPr>
      <w:r>
        <w:rPr>
          <w:rFonts w:hint="eastAsia" w:ascii="宋体" w:hAnsi="宋体" w:eastAsia="宋体" w:cs="宋体"/>
          <w:color w:val="000000" w:themeColor="text1"/>
          <w:sz w:val="28"/>
          <w:szCs w:val="24"/>
          <w14:textFill>
            <w14:solidFill>
              <w14:schemeClr w14:val="tx1"/>
            </w14:solidFill>
          </w14:textFill>
        </w:rPr>
        <w:t>露天采场为山坡露天采场，汽车在工作面采用折返式倒车</w:t>
      </w:r>
      <w:r>
        <w:rPr>
          <w:rFonts w:hint="eastAsia" w:ascii="宋体" w:hAnsi="宋体" w:eastAsia="宋体" w:cs="宋体"/>
          <w:color w:val="000000" w:themeColor="text1"/>
          <w:sz w:val="28"/>
          <w:szCs w:val="24"/>
          <w:lang w:eastAsia="zh-CN"/>
          <w14:textFill>
            <w14:solidFill>
              <w14:schemeClr w14:val="tx1"/>
            </w14:solidFill>
          </w14:textFill>
        </w:rPr>
        <w:t>，</w:t>
      </w:r>
      <w:r>
        <w:rPr>
          <w:rFonts w:hint="eastAsia" w:ascii="宋体" w:hAnsi="宋体" w:eastAsia="宋体" w:cs="宋体"/>
          <w:color w:val="000000" w:themeColor="text1"/>
          <w:sz w:val="28"/>
          <w:szCs w:val="24"/>
          <w14:textFill>
            <w14:solidFill>
              <w14:schemeClr w14:val="tx1"/>
            </w14:solidFill>
          </w14:textFill>
        </w:rPr>
        <w:t>矿石及废石土经汽车运输至矿石堆场。</w:t>
      </w:r>
    </w:p>
    <w:p>
      <w:pPr>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000000" w:themeColor="text1"/>
          <w:sz w:val="28"/>
          <w:szCs w:val="24"/>
          <w14:textFill>
            <w14:solidFill>
              <w14:schemeClr w14:val="tx1"/>
            </w14:solidFill>
          </w14:textFill>
        </w:rPr>
      </w:pPr>
      <w:r>
        <w:rPr>
          <w:rFonts w:hint="eastAsia" w:ascii="宋体" w:hAnsi="宋体" w:eastAsia="宋体" w:cs="宋体"/>
          <w:color w:val="000000" w:themeColor="text1"/>
          <w:sz w:val="28"/>
          <w:szCs w:val="24"/>
          <w:lang w:val="en-US" w:eastAsia="zh-CN"/>
          <w14:textFill>
            <w14:solidFill>
              <w14:schemeClr w14:val="tx1"/>
            </w14:solidFill>
          </w14:textFill>
        </w:rPr>
        <w:t>现场勘查，当前</w:t>
      </w:r>
      <w:r>
        <w:rPr>
          <w:rFonts w:hint="eastAsia" w:ascii="宋体" w:hAnsi="宋体" w:eastAsia="宋体" w:cs="宋体"/>
          <w:color w:val="000000" w:themeColor="text1"/>
          <w:sz w:val="28"/>
          <w:szCs w:val="24"/>
          <w14:textFill>
            <w14:solidFill>
              <w14:schemeClr w14:val="tx1"/>
            </w14:solidFill>
          </w14:textFill>
        </w:rPr>
        <w:t>矿区运输公路布置在矿区</w:t>
      </w:r>
      <w:r>
        <w:rPr>
          <w:rFonts w:hint="eastAsia" w:ascii="宋体" w:hAnsi="宋体" w:eastAsia="宋体" w:cs="宋体"/>
          <w:color w:val="000000" w:themeColor="text1"/>
          <w:sz w:val="28"/>
          <w:szCs w:val="24"/>
          <w:lang w:val="en-US" w:eastAsia="zh-CN"/>
          <w14:textFill>
            <w14:solidFill>
              <w14:schemeClr w14:val="tx1"/>
            </w14:solidFill>
          </w14:textFill>
        </w:rPr>
        <w:t>东</w:t>
      </w:r>
      <w:r>
        <w:rPr>
          <w:rFonts w:hint="eastAsia" w:ascii="宋体" w:hAnsi="宋体" w:eastAsia="宋体" w:cs="宋体"/>
          <w:color w:val="000000" w:themeColor="text1"/>
          <w:sz w:val="28"/>
          <w:szCs w:val="24"/>
          <w14:textFill>
            <w14:solidFill>
              <w14:schemeClr w14:val="tx1"/>
            </w14:solidFill>
          </w14:textFill>
        </w:rPr>
        <w:t>侧，</w:t>
      </w:r>
      <w:r>
        <w:rPr>
          <w:rFonts w:hint="eastAsia" w:ascii="宋体" w:hAnsi="宋体" w:eastAsia="宋体" w:cs="宋体"/>
          <w:color w:val="000000" w:themeColor="text1"/>
          <w:sz w:val="28"/>
          <w:szCs w:val="24"/>
          <w:lang w:val="en-US" w:eastAsia="zh-CN"/>
          <w14:textFill>
            <w14:solidFill>
              <w14:schemeClr w14:val="tx1"/>
            </w14:solidFill>
          </w14:textFill>
        </w:rPr>
        <w:t>采区距离矿石堆场，运途较短。</w:t>
      </w:r>
      <w:r>
        <w:rPr>
          <w:rFonts w:hint="eastAsia" w:ascii="宋体" w:hAnsi="宋体" w:eastAsia="宋体" w:cs="宋体"/>
          <w:color w:val="000000" w:themeColor="text1"/>
          <w:sz w:val="28"/>
          <w:szCs w:val="24"/>
          <w14:textFill>
            <w14:solidFill>
              <w14:schemeClr w14:val="tx1"/>
            </w14:solidFill>
          </w14:textFill>
        </w:rPr>
        <w:t>运输道路路面宽度</w:t>
      </w:r>
      <w:r>
        <w:rPr>
          <w:rFonts w:hint="eastAsia" w:ascii="宋体" w:hAnsi="宋体" w:eastAsia="宋体" w:cs="宋体"/>
          <w:color w:val="000000" w:themeColor="text1"/>
          <w:sz w:val="28"/>
          <w:szCs w:val="24"/>
          <w:lang w:val="en-US" w:eastAsia="zh-CN"/>
          <w14:textFill>
            <w14:solidFill>
              <w14:schemeClr w14:val="tx1"/>
            </w14:solidFill>
          </w14:textFill>
        </w:rPr>
        <w:t>5～7</w:t>
      </w:r>
      <w:r>
        <w:rPr>
          <w:rFonts w:hint="eastAsia" w:ascii="宋体" w:hAnsi="宋体" w:eastAsia="宋体" w:cs="宋体"/>
          <w:color w:val="000000" w:themeColor="text1"/>
          <w:sz w:val="28"/>
          <w:szCs w:val="24"/>
          <w14:textFill>
            <w14:solidFill>
              <w14:schemeClr w14:val="tx1"/>
            </w14:solidFill>
          </w14:textFill>
        </w:rPr>
        <w:t>m，最大纵坡</w:t>
      </w:r>
      <w:r>
        <w:rPr>
          <w:rFonts w:hint="eastAsia" w:ascii="宋体" w:hAnsi="宋体" w:eastAsia="宋体" w:cs="宋体"/>
          <w:color w:val="000000" w:themeColor="text1"/>
          <w:sz w:val="28"/>
          <w:szCs w:val="24"/>
          <w:lang w:val="en-US" w:eastAsia="zh-CN"/>
          <w14:textFill>
            <w14:solidFill>
              <w14:schemeClr w14:val="tx1"/>
            </w14:solidFill>
          </w14:textFill>
        </w:rPr>
        <w:t>8.8</w:t>
      </w:r>
      <w:r>
        <w:rPr>
          <w:rFonts w:hint="eastAsia" w:ascii="宋体" w:hAnsi="宋体" w:eastAsia="宋体" w:cs="宋体"/>
          <w:color w:val="000000" w:themeColor="text1"/>
          <w:sz w:val="28"/>
          <w:szCs w:val="24"/>
          <w14:textFill>
            <w14:solidFill>
              <w14:schemeClr w14:val="tx1"/>
            </w14:solidFill>
          </w14:textFill>
        </w:rPr>
        <w:t>%，平均纵坡</w:t>
      </w:r>
      <w:r>
        <w:rPr>
          <w:rFonts w:hint="eastAsia" w:ascii="宋体" w:hAnsi="宋体" w:eastAsia="宋体" w:cs="宋体"/>
          <w:color w:val="000000" w:themeColor="text1"/>
          <w:sz w:val="28"/>
          <w:szCs w:val="24"/>
          <w:lang w:val="en-US" w:eastAsia="zh-CN"/>
          <w14:textFill>
            <w14:solidFill>
              <w14:schemeClr w14:val="tx1"/>
            </w14:solidFill>
          </w14:textFill>
        </w:rPr>
        <w:t>6.4</w:t>
      </w:r>
      <w:r>
        <w:rPr>
          <w:rFonts w:hint="eastAsia" w:ascii="宋体" w:hAnsi="宋体" w:eastAsia="宋体" w:cs="宋体"/>
          <w:color w:val="000000" w:themeColor="text1"/>
          <w:sz w:val="28"/>
          <w:szCs w:val="24"/>
          <w14:textFill>
            <w14:solidFill>
              <w14:schemeClr w14:val="tx1"/>
            </w14:solidFill>
          </w14:textFill>
        </w:rPr>
        <w:t>%，道路最小转弯半径15m。</w:t>
      </w:r>
    </w:p>
    <w:bookmarkEnd w:id="398"/>
    <w:bookmarkEnd w:id="399"/>
    <w:bookmarkEnd w:id="400"/>
    <w:p>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eastAsia="宋体" w:cs="宋体"/>
          <w:color w:val="auto"/>
          <w:kern w:val="0"/>
          <w:sz w:val="28"/>
          <w:szCs w:val="28"/>
          <w:lang w:val="zh-CN"/>
        </w:rPr>
      </w:pPr>
      <w:r>
        <w:rPr>
          <w:rFonts w:hint="eastAsia" w:ascii="宋体" w:hAnsi="宋体" w:eastAsia="宋体" w:cs="宋体"/>
          <w:color w:val="auto"/>
          <w:kern w:val="0"/>
          <w:sz w:val="28"/>
          <w:szCs w:val="28"/>
          <w:lang w:val="zh-CN"/>
        </w:rPr>
        <w:t>综上所述，开拓运输符合设计要求。</w:t>
      </w:r>
    </w:p>
    <w:p>
      <w:pPr>
        <w:pStyle w:val="5"/>
        <w:bidi w:val="0"/>
        <w:rPr>
          <w:rFonts w:hint="eastAsia"/>
        </w:rPr>
      </w:pPr>
      <w:bookmarkStart w:id="401" w:name="_Toc102829723"/>
      <w:bookmarkStart w:id="402" w:name="_Toc5155"/>
      <w:r>
        <w:rPr>
          <w:rFonts w:hint="eastAsia"/>
        </w:rPr>
        <w:t>4.3.3单元存在问题及对策措施</w:t>
      </w:r>
      <w:bookmarkEnd w:id="401"/>
      <w:bookmarkEnd w:id="402"/>
    </w:p>
    <w:p>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eastAsia="宋体" w:cs="宋体"/>
          <w:color w:val="auto"/>
          <w:kern w:val="0"/>
          <w:sz w:val="28"/>
          <w:szCs w:val="28"/>
          <w:lang w:val="zh-CN"/>
        </w:rPr>
      </w:pPr>
      <w:r>
        <w:rPr>
          <w:rFonts w:hint="eastAsia" w:ascii="宋体" w:hAnsi="宋体" w:eastAsia="宋体" w:cs="宋体"/>
          <w:color w:val="auto"/>
          <w:kern w:val="0"/>
          <w:sz w:val="28"/>
          <w:szCs w:val="28"/>
          <w:lang w:val="zh-CN"/>
        </w:rPr>
        <w:t>存在问题：</w:t>
      </w:r>
      <w:r>
        <w:rPr>
          <w:rFonts w:hint="eastAsia" w:ascii="宋体" w:hAnsi="宋体" w:eastAsia="宋体" w:cs="宋体"/>
          <w:color w:val="auto"/>
          <w:sz w:val="28"/>
          <w:szCs w:val="28"/>
          <w:lang w:val="en-US" w:eastAsia="zh-CN"/>
        </w:rPr>
        <w:t>危险路段未设置安全警示标志。</w:t>
      </w:r>
    </w:p>
    <w:p>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color w:val="auto"/>
          <w:sz w:val="28"/>
          <w:szCs w:val="28"/>
          <w:lang w:val="zh-CN"/>
        </w:rPr>
      </w:pPr>
      <w:r>
        <w:rPr>
          <w:rFonts w:hint="eastAsia" w:ascii="宋体" w:hAnsi="宋体" w:eastAsia="宋体" w:cs="宋体"/>
          <w:color w:val="auto"/>
          <w:kern w:val="0"/>
          <w:sz w:val="28"/>
          <w:szCs w:val="28"/>
          <w:lang w:val="zh-CN"/>
        </w:rPr>
        <w:t>对策措施：</w:t>
      </w:r>
      <w:r>
        <w:rPr>
          <w:rFonts w:hint="eastAsia" w:ascii="宋体" w:hAnsi="宋体" w:eastAsia="宋体" w:cs="宋体"/>
          <w:color w:val="auto"/>
          <w:sz w:val="28"/>
          <w:szCs w:val="28"/>
          <w:lang w:val="en-US" w:eastAsia="zh-CN"/>
        </w:rPr>
        <w:t>危险路段应设置安全警示标志</w:t>
      </w:r>
      <w:r>
        <w:rPr>
          <w:rFonts w:hint="eastAsia" w:ascii="宋体" w:hAnsi="宋体" w:eastAsia="宋体" w:cs="宋体"/>
          <w:color w:val="auto"/>
          <w:kern w:val="0"/>
          <w:sz w:val="28"/>
          <w:szCs w:val="28"/>
          <w:lang w:val="zh-CN"/>
        </w:rPr>
        <w:t>。</w:t>
      </w:r>
    </w:p>
    <w:p>
      <w:pPr>
        <w:pStyle w:val="5"/>
        <w:bidi w:val="0"/>
        <w:rPr>
          <w:rFonts w:hint="eastAsia" w:ascii="宋体" w:hAnsi="宋体"/>
          <w:color w:val="auto"/>
          <w:kern w:val="2"/>
          <w:szCs w:val="28"/>
          <w:lang w:eastAsia="zh-CN" w:bidi="ar-SA"/>
        </w:rPr>
      </w:pPr>
      <w:bookmarkStart w:id="403" w:name="_Toc102829724"/>
      <w:bookmarkStart w:id="404" w:name="_Toc28503_WPSOffice_Level3"/>
      <w:bookmarkStart w:id="405" w:name="_Toc20226_WPSOffice_Level3"/>
      <w:bookmarkStart w:id="406" w:name="_Toc16840815"/>
      <w:bookmarkStart w:id="407" w:name="_Toc13730"/>
      <w:r>
        <w:rPr>
          <w:rFonts w:hint="eastAsia"/>
          <w:lang w:eastAsia="zh-CN"/>
        </w:rPr>
        <w:t>4.3.4单元小结</w:t>
      </w:r>
      <w:bookmarkEnd w:id="403"/>
      <w:bookmarkEnd w:id="404"/>
      <w:bookmarkEnd w:id="405"/>
      <w:bookmarkEnd w:id="406"/>
      <w:bookmarkEnd w:id="407"/>
    </w:p>
    <w:p>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rFonts w:hint="eastAsia" w:ascii="宋体" w:hAnsi="宋体" w:eastAsia="宋体" w:cs="宋体"/>
          <w:color w:val="auto"/>
          <w:kern w:val="0"/>
          <w:sz w:val="28"/>
          <w:szCs w:val="28"/>
          <w:lang w:val="zh-CN"/>
        </w:rPr>
      </w:pPr>
      <w:r>
        <w:rPr>
          <w:rFonts w:hint="eastAsia" w:ascii="宋体" w:hAnsi="宋体" w:eastAsia="宋体" w:cs="宋体"/>
          <w:color w:val="auto"/>
          <w:kern w:val="0"/>
          <w:sz w:val="28"/>
          <w:szCs w:val="28"/>
          <w:lang w:val="zh-CN"/>
        </w:rPr>
        <w:t>该矿山的开拓运输为公路开拓、汽车运输，道路宽度、坡度、道路的转弯半径满足安全运输要求。符合《金属非金属矿山安全规程》（GB16423-2020）的规定，能满足安全生产的要求。</w:t>
      </w:r>
    </w:p>
    <w:p>
      <w:pPr>
        <w:pStyle w:val="4"/>
        <w:bidi w:val="0"/>
        <w:rPr>
          <w:rFonts w:hint="eastAsia"/>
          <w:lang w:eastAsia="zh-CN"/>
        </w:rPr>
      </w:pPr>
      <w:bookmarkStart w:id="408" w:name="_Toc30419"/>
      <w:r>
        <w:rPr>
          <w:rFonts w:hint="eastAsia"/>
          <w:lang w:eastAsia="zh-CN"/>
        </w:rPr>
        <w:t>4.4采剥单元</w:t>
      </w:r>
      <w:bookmarkEnd w:id="408"/>
    </w:p>
    <w:p>
      <w:pPr>
        <w:pStyle w:val="5"/>
        <w:bidi w:val="0"/>
        <w:rPr>
          <w:rFonts w:hint="eastAsia" w:ascii="宋体" w:hAnsi="宋体"/>
          <w:color w:val="auto"/>
          <w:kern w:val="2"/>
          <w:szCs w:val="28"/>
          <w:highlight w:val="none"/>
          <w:lang w:eastAsia="zh-CN" w:bidi="ar-SA"/>
        </w:rPr>
      </w:pPr>
      <w:bookmarkStart w:id="409" w:name="_Toc452553183"/>
      <w:bookmarkStart w:id="410" w:name="_Toc502865197"/>
      <w:bookmarkStart w:id="411" w:name="_Toc467792793"/>
      <w:bookmarkStart w:id="412" w:name="_Toc465112971"/>
      <w:bookmarkStart w:id="413" w:name="_Toc17655"/>
      <w:bookmarkStart w:id="414" w:name="_Toc102829726"/>
      <w:bookmarkStart w:id="415" w:name="_Toc12579"/>
      <w:r>
        <w:rPr>
          <w:rFonts w:hint="eastAsia"/>
          <w:lang w:eastAsia="zh-CN"/>
        </w:rPr>
        <w:t>4.4.1</w:t>
      </w:r>
      <w:bookmarkEnd w:id="409"/>
      <w:bookmarkEnd w:id="410"/>
      <w:bookmarkEnd w:id="411"/>
      <w:bookmarkEnd w:id="412"/>
      <w:bookmarkEnd w:id="413"/>
      <w:r>
        <w:rPr>
          <w:rFonts w:hint="eastAsia"/>
          <w:lang w:eastAsia="zh-CN"/>
        </w:rPr>
        <w:t>露天采场子单元</w:t>
      </w:r>
      <w:bookmarkEnd w:id="414"/>
      <w:bookmarkEnd w:id="415"/>
    </w:p>
    <w:p>
      <w:pPr>
        <w:pStyle w:val="6"/>
        <w:bidi w:val="0"/>
        <w:rPr>
          <w:rFonts w:hint="eastAsia"/>
          <w:lang w:eastAsia="zh-CN"/>
        </w:rPr>
      </w:pPr>
      <w:bookmarkStart w:id="416" w:name="_Toc217735960"/>
      <w:bookmarkStart w:id="417" w:name="_Toc102829727"/>
      <w:bookmarkStart w:id="418" w:name="_Toc6184"/>
      <w:bookmarkStart w:id="419" w:name="_Toc15408"/>
      <w:r>
        <w:rPr>
          <w:rFonts w:hint="eastAsia"/>
          <w:lang w:eastAsia="zh-CN"/>
        </w:rPr>
        <w:t>4.4.1.1</w:t>
      </w:r>
      <w:bookmarkEnd w:id="416"/>
      <w:r>
        <w:rPr>
          <w:rFonts w:hint="eastAsia"/>
          <w:lang w:eastAsia="zh-CN"/>
        </w:rPr>
        <w:t>露天采场安全检查表</w:t>
      </w:r>
      <w:bookmarkEnd w:id="417"/>
      <w:bookmarkEnd w:id="418"/>
      <w:bookmarkEnd w:id="419"/>
    </w:p>
    <w:p>
      <w:pPr>
        <w:wordWrap/>
        <w:topLinePunct w:val="0"/>
        <w:bidi w:val="0"/>
        <w:spacing w:line="500" w:lineRule="exact"/>
        <w:ind w:firstLine="561"/>
        <w:textAlignment w:val="auto"/>
        <w:rPr>
          <w:rFonts w:hint="eastAsia" w:ascii="宋体" w:hAnsi="宋体"/>
          <w:color w:val="auto"/>
          <w:sz w:val="28"/>
          <w:szCs w:val="28"/>
        </w:rPr>
      </w:pPr>
      <w:r>
        <w:rPr>
          <w:rFonts w:hint="eastAsia" w:ascii="宋体" w:hAnsi="宋体" w:eastAsia="宋体" w:cs="宋体"/>
          <w:color w:val="auto"/>
          <w:kern w:val="0"/>
          <w:sz w:val="28"/>
          <w:szCs w:val="28"/>
          <w:lang w:val="zh-CN"/>
        </w:rPr>
        <w:t>采用《金属非金属矿山安全规程》GB16423-2020的相关条款及《</w:t>
      </w:r>
      <w:r>
        <w:rPr>
          <w:rFonts w:hint="eastAsia" w:ascii="宋体" w:hAnsi="宋体" w:eastAsia="宋体" w:cs="宋体"/>
          <w:color w:val="auto"/>
          <w:kern w:val="0"/>
          <w:sz w:val="28"/>
          <w:szCs w:val="28"/>
          <w:lang w:val="zh-CN" w:eastAsia="zh-CN"/>
        </w:rPr>
        <w:t>安全设施设计</w:t>
      </w:r>
      <w:r>
        <w:rPr>
          <w:rFonts w:hint="eastAsia" w:ascii="宋体" w:hAnsi="宋体" w:eastAsia="宋体" w:cs="宋体"/>
          <w:color w:val="auto"/>
          <w:kern w:val="0"/>
          <w:sz w:val="28"/>
          <w:szCs w:val="28"/>
          <w:lang w:val="zh-CN"/>
        </w:rPr>
        <w:t>》对露天采场子单元进行安全检查，见表4-5。</w:t>
      </w:r>
    </w:p>
    <w:p>
      <w:pPr>
        <w:wordWrap/>
        <w:topLinePunct w:val="0"/>
        <w:bidi w:val="0"/>
        <w:spacing w:line="500" w:lineRule="exact"/>
        <w:jc w:val="center"/>
        <w:textAlignment w:val="auto"/>
        <w:rPr>
          <w:rFonts w:ascii="宋体" w:hAnsi="宋体"/>
          <w:b/>
          <w:bCs/>
          <w:color w:val="auto"/>
          <w:sz w:val="24"/>
        </w:rPr>
      </w:pPr>
      <w:r>
        <w:rPr>
          <w:rFonts w:hint="eastAsia" w:ascii="宋体" w:hAnsi="宋体" w:cs="宋体"/>
          <w:b/>
          <w:bCs/>
          <w:color w:val="auto"/>
          <w:sz w:val="24"/>
        </w:rPr>
        <w:t>表</w:t>
      </w: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5</w:t>
      </w:r>
      <w:r>
        <w:rPr>
          <w:rFonts w:hint="eastAsia" w:ascii="宋体" w:hAnsi="宋体" w:cs="宋体"/>
          <w:b/>
          <w:bCs/>
          <w:color w:val="auto"/>
          <w:sz w:val="24"/>
        </w:rPr>
        <w:t>露天采场子单元安全检查表</w:t>
      </w:r>
    </w:p>
    <w:tbl>
      <w:tblPr>
        <w:tblStyle w:val="35"/>
        <w:tblW w:w="91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2904"/>
        <w:gridCol w:w="2324"/>
        <w:gridCol w:w="2430"/>
        <w:gridCol w:w="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tblHeader/>
          <w:jc w:val="center"/>
        </w:trPr>
        <w:tc>
          <w:tcPr>
            <w:tcW w:w="735" w:type="dxa"/>
            <w:noWrap w:val="0"/>
            <w:vAlign w:val="center"/>
          </w:tcPr>
          <w:p>
            <w:pPr>
              <w:pStyle w:val="27"/>
              <w:wordWrap/>
              <w:topLinePunct w:val="0"/>
              <w:bidi w:val="0"/>
              <w:spacing w:line="240" w:lineRule="auto"/>
              <w:ind w:left="200" w:leftChars="0" w:hanging="200" w:firstLineChars="0"/>
              <w:jc w:val="center"/>
              <w:textAlignment w:val="auto"/>
              <w:rPr>
                <w:rFonts w:ascii="宋体" w:hAnsi="宋体"/>
                <w:b/>
                <w:bCs w:val="0"/>
                <w:color w:val="auto"/>
                <w:kern w:val="2"/>
                <w:sz w:val="21"/>
                <w:szCs w:val="21"/>
                <w:lang w:val="en-US" w:eastAsia="zh-CN" w:bidi="ar-SA"/>
              </w:rPr>
            </w:pPr>
            <w:r>
              <w:rPr>
                <w:rFonts w:hint="eastAsia" w:ascii="宋体" w:hAnsi="宋体" w:cs="宋体"/>
                <w:b/>
                <w:bCs w:val="0"/>
                <w:color w:val="auto"/>
                <w:sz w:val="21"/>
                <w:szCs w:val="21"/>
              </w:rPr>
              <w:t>序号</w:t>
            </w:r>
          </w:p>
        </w:tc>
        <w:tc>
          <w:tcPr>
            <w:tcW w:w="2904" w:type="dxa"/>
            <w:noWrap w:val="0"/>
            <w:vAlign w:val="center"/>
          </w:tcPr>
          <w:p>
            <w:pPr>
              <w:pStyle w:val="27"/>
              <w:wordWrap/>
              <w:topLinePunct w:val="0"/>
              <w:bidi w:val="0"/>
              <w:spacing w:line="240" w:lineRule="auto"/>
              <w:ind w:left="200" w:leftChars="0" w:firstLine="630" w:firstLineChars="300"/>
              <w:jc w:val="center"/>
              <w:textAlignment w:val="auto"/>
              <w:rPr>
                <w:rFonts w:hint="eastAsia" w:ascii="宋体" w:hAnsi="宋体"/>
                <w:b/>
                <w:bCs w:val="0"/>
                <w:color w:val="auto"/>
                <w:kern w:val="2"/>
                <w:sz w:val="21"/>
                <w:szCs w:val="21"/>
                <w:lang w:val="en-US" w:eastAsia="zh-CN" w:bidi="ar-SA"/>
              </w:rPr>
            </w:pPr>
            <w:r>
              <w:rPr>
                <w:rFonts w:hint="eastAsia" w:ascii="宋体" w:hAnsi="宋体" w:cs="宋体"/>
                <w:b/>
                <w:bCs w:val="0"/>
                <w:color w:val="auto"/>
                <w:sz w:val="21"/>
                <w:szCs w:val="21"/>
              </w:rPr>
              <w:t>检查内容</w:t>
            </w:r>
          </w:p>
        </w:tc>
        <w:tc>
          <w:tcPr>
            <w:tcW w:w="2324" w:type="dxa"/>
            <w:noWrap w:val="0"/>
            <w:vAlign w:val="center"/>
          </w:tcPr>
          <w:p>
            <w:pPr>
              <w:pStyle w:val="27"/>
              <w:wordWrap/>
              <w:topLinePunct w:val="0"/>
              <w:bidi w:val="0"/>
              <w:spacing w:line="240" w:lineRule="auto"/>
              <w:ind w:left="420" w:leftChars="0" w:hanging="420" w:hangingChars="200"/>
              <w:jc w:val="center"/>
              <w:textAlignment w:val="auto"/>
              <w:rPr>
                <w:rFonts w:hint="eastAsia" w:ascii="宋体" w:hAnsi="宋体"/>
                <w:b/>
                <w:bCs w:val="0"/>
                <w:color w:val="auto"/>
                <w:kern w:val="2"/>
                <w:sz w:val="21"/>
                <w:szCs w:val="21"/>
                <w:lang w:val="en-US" w:eastAsia="zh-CN" w:bidi="ar-SA"/>
              </w:rPr>
            </w:pPr>
            <w:r>
              <w:rPr>
                <w:rFonts w:hint="eastAsia" w:ascii="宋体" w:hAnsi="宋体" w:cs="宋体"/>
                <w:b/>
                <w:bCs w:val="0"/>
                <w:color w:val="auto"/>
                <w:sz w:val="21"/>
                <w:szCs w:val="21"/>
              </w:rPr>
              <w:t>依据标准条款</w:t>
            </w:r>
          </w:p>
        </w:tc>
        <w:tc>
          <w:tcPr>
            <w:tcW w:w="2430" w:type="dxa"/>
            <w:noWrap w:val="0"/>
            <w:vAlign w:val="center"/>
          </w:tcPr>
          <w:p>
            <w:pPr>
              <w:pStyle w:val="27"/>
              <w:wordWrap/>
              <w:topLinePunct w:val="0"/>
              <w:bidi w:val="0"/>
              <w:spacing w:line="240" w:lineRule="auto"/>
              <w:ind w:left="200" w:leftChars="0" w:firstLine="0" w:firstLineChars="0"/>
              <w:jc w:val="center"/>
              <w:textAlignment w:val="auto"/>
              <w:rPr>
                <w:rFonts w:hint="eastAsia" w:ascii="宋体" w:hAnsi="宋体"/>
                <w:b/>
                <w:bCs w:val="0"/>
                <w:color w:val="auto"/>
                <w:kern w:val="2"/>
                <w:sz w:val="21"/>
                <w:szCs w:val="21"/>
                <w:lang w:val="en-US" w:eastAsia="zh-CN" w:bidi="ar-SA"/>
              </w:rPr>
            </w:pPr>
            <w:r>
              <w:rPr>
                <w:rFonts w:hint="eastAsia" w:ascii="宋体" w:hAnsi="宋体" w:cs="宋体"/>
                <w:b/>
                <w:bCs w:val="0"/>
                <w:color w:val="auto"/>
                <w:sz w:val="21"/>
                <w:szCs w:val="21"/>
              </w:rPr>
              <w:t>检查情况</w:t>
            </w:r>
          </w:p>
        </w:tc>
        <w:tc>
          <w:tcPr>
            <w:tcW w:w="711" w:type="dxa"/>
            <w:noWrap w:val="0"/>
            <w:vAlign w:val="center"/>
          </w:tcPr>
          <w:p>
            <w:pPr>
              <w:pStyle w:val="27"/>
              <w:wordWrap/>
              <w:topLinePunct w:val="0"/>
              <w:bidi w:val="0"/>
              <w:spacing w:line="240" w:lineRule="auto"/>
              <w:ind w:left="420" w:hanging="420"/>
              <w:jc w:val="center"/>
              <w:textAlignment w:val="auto"/>
              <w:rPr>
                <w:rFonts w:hint="eastAsia" w:ascii="宋体" w:hAnsi="宋体" w:cs="宋体"/>
                <w:b/>
                <w:bCs w:val="0"/>
                <w:color w:val="auto"/>
                <w:sz w:val="21"/>
                <w:szCs w:val="21"/>
                <w:lang w:eastAsia="zh-CN"/>
              </w:rPr>
            </w:pPr>
            <w:r>
              <w:rPr>
                <w:rFonts w:hint="eastAsia" w:ascii="宋体" w:hAnsi="宋体" w:cs="宋体"/>
                <w:b/>
                <w:bCs w:val="0"/>
                <w:color w:val="auto"/>
                <w:sz w:val="21"/>
                <w:szCs w:val="21"/>
                <w:lang w:eastAsia="zh-CN"/>
              </w:rPr>
              <w:t>检查</w:t>
            </w:r>
          </w:p>
          <w:p>
            <w:pPr>
              <w:pStyle w:val="27"/>
              <w:wordWrap/>
              <w:topLinePunct w:val="0"/>
              <w:bidi w:val="0"/>
              <w:spacing w:line="240" w:lineRule="auto"/>
              <w:ind w:left="420" w:hanging="420"/>
              <w:jc w:val="center"/>
              <w:textAlignment w:val="auto"/>
              <w:rPr>
                <w:rFonts w:hint="eastAsia" w:ascii="宋体" w:hAnsi="宋体" w:eastAsia="宋体" w:cs="宋体"/>
                <w:b/>
                <w:bCs w:val="0"/>
                <w:color w:val="auto"/>
                <w:sz w:val="21"/>
                <w:szCs w:val="21"/>
                <w:lang w:eastAsia="zh-CN"/>
              </w:rPr>
            </w:pPr>
            <w:r>
              <w:rPr>
                <w:rFonts w:hint="eastAsia" w:ascii="宋体" w:hAnsi="宋体" w:cs="宋体"/>
                <w:b/>
                <w:bCs w:val="0"/>
                <w:color w:val="auto"/>
                <w:sz w:val="21"/>
                <w:szCs w:val="21"/>
                <w:lang w:eastAsia="zh-CN"/>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5" w:type="dxa"/>
            <w:noWrap w:val="0"/>
            <w:vAlign w:val="center"/>
          </w:tcPr>
          <w:p>
            <w:pPr>
              <w:pStyle w:val="27"/>
              <w:wordWrap/>
              <w:topLinePunct w:val="0"/>
              <w:bidi w:val="0"/>
              <w:spacing w:line="240" w:lineRule="auto"/>
              <w:ind w:left="420" w:hanging="420"/>
              <w:jc w:val="center"/>
              <w:textAlignment w:val="auto"/>
              <w:rPr>
                <w:rFonts w:ascii="宋体" w:hAnsi="宋体"/>
                <w:color w:val="auto"/>
                <w:sz w:val="21"/>
                <w:szCs w:val="21"/>
              </w:rPr>
            </w:pPr>
            <w:r>
              <w:rPr>
                <w:rFonts w:ascii="宋体" w:hAnsi="宋体"/>
                <w:color w:val="auto"/>
                <w:sz w:val="21"/>
                <w:szCs w:val="21"/>
              </w:rPr>
              <w:t>1</w:t>
            </w:r>
          </w:p>
        </w:tc>
        <w:tc>
          <w:tcPr>
            <w:tcW w:w="2904" w:type="dxa"/>
            <w:noWrap w:val="0"/>
            <w:vAlign w:val="center"/>
          </w:tcPr>
          <w:p>
            <w:pPr>
              <w:pStyle w:val="21"/>
              <w:wordWrap/>
              <w:topLinePunct w:val="0"/>
              <w:bidi w:val="0"/>
              <w:spacing w:line="240" w:lineRule="auto"/>
              <w:ind w:left="0" w:leftChars="0"/>
              <w:textAlignment w:val="auto"/>
              <w:rPr>
                <w:rFonts w:ascii="宋体" w:hAnsi="宋体"/>
                <w:color w:val="auto"/>
                <w:szCs w:val="21"/>
              </w:rPr>
            </w:pPr>
            <w:r>
              <w:rPr>
                <w:rFonts w:hint="eastAsia" w:ascii="宋体" w:hAnsi="宋体"/>
                <w:color w:val="auto"/>
                <w:szCs w:val="21"/>
              </w:rPr>
              <w:t>露天开采应遵循自上而下的开采顺序，分台阶开采，并坚持“采剥并举，剥离先行”的原则。</w:t>
            </w:r>
          </w:p>
        </w:tc>
        <w:tc>
          <w:tcPr>
            <w:tcW w:w="2324" w:type="dxa"/>
            <w:noWrap w:val="0"/>
            <w:vAlign w:val="center"/>
          </w:tcPr>
          <w:p>
            <w:pPr>
              <w:pStyle w:val="21"/>
              <w:wordWrap/>
              <w:topLinePunct w:val="0"/>
              <w:bidi w:val="0"/>
              <w:spacing w:line="240" w:lineRule="auto"/>
              <w:ind w:left="0" w:leftChars="0"/>
              <w:textAlignment w:val="auto"/>
              <w:rPr>
                <w:rFonts w:ascii="宋体" w:hAnsi="宋体"/>
                <w:color w:val="auto"/>
                <w:szCs w:val="21"/>
              </w:rPr>
            </w:pPr>
            <w:r>
              <w:rPr>
                <w:rFonts w:hint="eastAsia" w:ascii="宋体" w:hAnsi="宋体"/>
                <w:color w:val="auto"/>
                <w:szCs w:val="21"/>
              </w:rPr>
              <w:t>《</w:t>
            </w:r>
            <w:r>
              <w:rPr>
                <w:rFonts w:hint="eastAsia" w:ascii="宋体" w:hAnsi="宋体"/>
                <w:color w:val="auto"/>
                <w:szCs w:val="21"/>
                <w:lang w:eastAsia="zh-CN"/>
              </w:rPr>
              <w:t>安全设施设计</w:t>
            </w:r>
            <w:r>
              <w:rPr>
                <w:rFonts w:hint="eastAsia" w:ascii="宋体" w:hAnsi="宋体"/>
                <w:color w:val="auto"/>
                <w:szCs w:val="21"/>
              </w:rPr>
              <w:t>》、《金属非金属矿山安全规程》GB16423-2020</w:t>
            </w:r>
          </w:p>
        </w:tc>
        <w:tc>
          <w:tcPr>
            <w:tcW w:w="2430" w:type="dxa"/>
            <w:noWrap w:val="0"/>
            <w:vAlign w:val="center"/>
          </w:tcPr>
          <w:p>
            <w:pPr>
              <w:pStyle w:val="21"/>
              <w:wordWrap/>
              <w:topLinePunct w:val="0"/>
              <w:bidi w:val="0"/>
              <w:spacing w:line="240" w:lineRule="auto"/>
              <w:ind w:left="0" w:leftChars="0"/>
              <w:textAlignment w:val="auto"/>
              <w:rPr>
                <w:rFonts w:ascii="宋体" w:hAnsi="宋体"/>
                <w:color w:val="auto"/>
                <w:szCs w:val="21"/>
              </w:rPr>
            </w:pPr>
            <w:r>
              <w:rPr>
                <w:rFonts w:hint="eastAsia" w:ascii="宋体" w:hAnsi="宋体"/>
                <w:color w:val="auto"/>
                <w:szCs w:val="21"/>
              </w:rPr>
              <w:t>矿山实行自上而下分台阶开采。</w:t>
            </w:r>
          </w:p>
        </w:tc>
        <w:tc>
          <w:tcPr>
            <w:tcW w:w="711" w:type="dxa"/>
            <w:noWrap w:val="0"/>
            <w:vAlign w:val="center"/>
          </w:tcPr>
          <w:p>
            <w:pPr>
              <w:pStyle w:val="27"/>
              <w:wordWrap/>
              <w:topLinePunct w:val="0"/>
              <w:bidi w:val="0"/>
              <w:spacing w:line="240" w:lineRule="auto"/>
              <w:ind w:left="420" w:hanging="420"/>
              <w:jc w:val="center"/>
              <w:textAlignment w:val="auto"/>
              <w:rPr>
                <w:rFonts w:ascii="宋体" w:hAnsi="宋体"/>
                <w:color w:val="auto"/>
                <w:sz w:val="21"/>
                <w:szCs w:val="21"/>
              </w:rPr>
            </w:pPr>
            <w:r>
              <w:rPr>
                <w:rFonts w:hint="eastAsia" w:ascii="宋体" w:hAnsi="宋体" w:cs="宋体"/>
                <w:color w:val="auto"/>
                <w:sz w:val="21"/>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735" w:type="dxa"/>
            <w:noWrap w:val="0"/>
            <w:vAlign w:val="center"/>
          </w:tcPr>
          <w:p>
            <w:pPr>
              <w:pStyle w:val="27"/>
              <w:wordWrap/>
              <w:topLinePunct w:val="0"/>
              <w:bidi w:val="0"/>
              <w:spacing w:line="240" w:lineRule="auto"/>
              <w:ind w:left="420" w:hanging="420"/>
              <w:jc w:val="center"/>
              <w:textAlignment w:val="auto"/>
              <w:rPr>
                <w:rFonts w:hint="eastAsia" w:ascii="宋体" w:hAnsi="宋体"/>
                <w:color w:val="auto"/>
                <w:sz w:val="21"/>
                <w:szCs w:val="21"/>
              </w:rPr>
            </w:pPr>
            <w:r>
              <w:rPr>
                <w:rFonts w:hint="eastAsia" w:ascii="宋体" w:hAnsi="宋体"/>
                <w:color w:val="auto"/>
                <w:sz w:val="21"/>
                <w:szCs w:val="21"/>
              </w:rPr>
              <w:t>2</w:t>
            </w:r>
          </w:p>
        </w:tc>
        <w:tc>
          <w:tcPr>
            <w:tcW w:w="2904"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《安全设施设计》采场边坡参数：</w:t>
            </w:r>
          </w:p>
          <w:p>
            <w:pPr>
              <w:pStyle w:val="21"/>
              <w:keepNext w:val="0"/>
              <w:keepLines w:val="0"/>
              <w:pageBreakBefore w:val="0"/>
              <w:widowControl w:val="0"/>
              <w:kinsoku/>
              <w:wordWrap/>
              <w:overflowPunct/>
              <w:topLinePunct w:val="0"/>
              <w:autoSpaceDE/>
              <w:autoSpaceDN/>
              <w:bidi w:val="0"/>
              <w:adjustRightInd/>
              <w:snapToGrid/>
              <w:spacing w:after="0" w:line="320" w:lineRule="exact"/>
              <w:ind w:left="0" w:leftChars="0" w:firstLine="0" w:firstLineChars="0"/>
              <w:jc w:val="left"/>
              <w:textAlignment w:val="auto"/>
              <w:rPr>
                <w:rFonts w:hint="eastAsia" w:ascii="宋体" w:hAnsi="宋体" w:eastAsia="宋体" w:cs="Times New Roman"/>
                <w:color w:val="auto"/>
                <w:kern w:val="2"/>
                <w:sz w:val="21"/>
                <w:szCs w:val="21"/>
                <w:lang w:val="en-US" w:eastAsia="zh-CN" w:bidi="ar-SA"/>
              </w:rPr>
            </w:pPr>
            <w:r>
              <w:rPr>
                <w:rFonts w:hint="eastAsia" w:ascii="宋体" w:hAnsi="宋体" w:cs="Times New Roman"/>
                <w:color w:val="auto"/>
                <w:kern w:val="2"/>
                <w:sz w:val="21"/>
                <w:szCs w:val="21"/>
                <w:lang w:val="en-US" w:eastAsia="zh-CN" w:bidi="ar-SA"/>
              </w:rPr>
              <w:t>台</w:t>
            </w:r>
            <w:r>
              <w:rPr>
                <w:rFonts w:hint="eastAsia" w:ascii="宋体" w:hAnsi="宋体" w:eastAsia="宋体" w:cs="Times New Roman"/>
                <w:color w:val="auto"/>
                <w:kern w:val="2"/>
                <w:sz w:val="21"/>
                <w:szCs w:val="21"/>
                <w:lang w:val="en-US" w:eastAsia="zh-CN" w:bidi="ar-SA"/>
              </w:rPr>
              <w:t>阶高度  7m（底部台阶8m）</w:t>
            </w:r>
          </w:p>
          <w:p>
            <w:pPr>
              <w:pStyle w:val="21"/>
              <w:keepNext w:val="0"/>
              <w:keepLines w:val="0"/>
              <w:pageBreakBefore w:val="0"/>
              <w:widowControl w:val="0"/>
              <w:kinsoku/>
              <w:wordWrap/>
              <w:overflowPunct/>
              <w:topLinePunct w:val="0"/>
              <w:autoSpaceDE/>
              <w:autoSpaceDN/>
              <w:bidi w:val="0"/>
              <w:adjustRightInd/>
              <w:snapToGrid/>
              <w:spacing w:after="0" w:line="320" w:lineRule="exact"/>
              <w:ind w:left="0" w:leftChars="0" w:firstLine="0" w:firstLineChars="0"/>
              <w:jc w:val="lef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终了台阶坡面角    55°</w:t>
            </w:r>
          </w:p>
          <w:p>
            <w:pPr>
              <w:pStyle w:val="21"/>
              <w:keepNext w:val="0"/>
              <w:keepLines w:val="0"/>
              <w:pageBreakBefore w:val="0"/>
              <w:widowControl w:val="0"/>
              <w:kinsoku/>
              <w:wordWrap/>
              <w:overflowPunct/>
              <w:topLinePunct w:val="0"/>
              <w:autoSpaceDE/>
              <w:autoSpaceDN/>
              <w:bidi w:val="0"/>
              <w:adjustRightInd/>
              <w:snapToGrid/>
              <w:spacing w:after="0" w:line="320" w:lineRule="exact"/>
              <w:ind w:left="0" w:leftChars="0" w:firstLine="0" w:firstLineChars="0"/>
              <w:jc w:val="lef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安全平台宽度      4m</w:t>
            </w:r>
          </w:p>
          <w:p>
            <w:pPr>
              <w:pStyle w:val="21"/>
              <w:keepNext w:val="0"/>
              <w:keepLines w:val="0"/>
              <w:pageBreakBefore w:val="0"/>
              <w:widowControl w:val="0"/>
              <w:kinsoku/>
              <w:wordWrap/>
              <w:overflowPunct/>
              <w:topLinePunct w:val="0"/>
              <w:autoSpaceDE/>
              <w:autoSpaceDN/>
              <w:bidi w:val="0"/>
              <w:adjustRightInd/>
              <w:snapToGrid/>
              <w:spacing w:after="0" w:line="320" w:lineRule="exact"/>
              <w:ind w:left="0" w:leftChars="0" w:firstLine="0" w:firstLineChars="0"/>
              <w:jc w:val="lef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清扫平台宽度      6m（每隔二个安全平台设置一个清扫平台，并在清扫平台上设置简易排水沟）</w:t>
            </w:r>
          </w:p>
          <w:p>
            <w:pPr>
              <w:pStyle w:val="21"/>
              <w:keepNext w:val="0"/>
              <w:keepLines w:val="0"/>
              <w:pageBreakBefore w:val="0"/>
              <w:widowControl w:val="0"/>
              <w:kinsoku/>
              <w:wordWrap/>
              <w:overflowPunct/>
              <w:topLinePunct w:val="0"/>
              <w:autoSpaceDE/>
              <w:autoSpaceDN/>
              <w:bidi w:val="0"/>
              <w:adjustRightInd/>
              <w:snapToGrid/>
              <w:spacing w:after="0" w:line="320" w:lineRule="exact"/>
              <w:ind w:left="0" w:leftChars="0" w:firstLine="0" w:firstLineChars="0"/>
              <w:jc w:val="lef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最终边坡角</w:t>
            </w:r>
            <w:bookmarkStart w:id="753" w:name="_GoBack"/>
            <w:bookmarkEnd w:id="753"/>
            <w:r>
              <w:rPr>
                <w:rFonts w:hint="eastAsia" w:ascii="宋体" w:hAnsi="宋体" w:eastAsia="宋体" w:cs="Times New Roman"/>
                <w:color w:val="auto"/>
                <w:kern w:val="2"/>
                <w:sz w:val="21"/>
                <w:szCs w:val="21"/>
                <w:lang w:val="en-US" w:eastAsia="zh-CN" w:bidi="ar-SA"/>
              </w:rPr>
              <w:t xml:space="preserve">        40°</w:t>
            </w:r>
          </w:p>
          <w:p>
            <w:pPr>
              <w:pStyle w:val="21"/>
              <w:keepNext w:val="0"/>
              <w:keepLines w:val="0"/>
              <w:pageBreakBefore w:val="0"/>
              <w:widowControl w:val="0"/>
              <w:kinsoku/>
              <w:wordWrap/>
              <w:overflowPunct/>
              <w:topLinePunct w:val="0"/>
              <w:autoSpaceDE/>
              <w:autoSpaceDN/>
              <w:bidi w:val="0"/>
              <w:adjustRightInd/>
              <w:snapToGrid/>
              <w:spacing w:after="0" w:line="320" w:lineRule="exact"/>
              <w:ind w:left="0" w:leftChars="0" w:firstLine="0" w:firstLineChars="0"/>
              <w:jc w:val="lef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最小工作平台宽度  16m</w:t>
            </w:r>
          </w:p>
          <w:p>
            <w:pPr>
              <w:pStyle w:val="21"/>
              <w:keepNext w:val="0"/>
              <w:keepLines w:val="0"/>
              <w:pageBreakBefore w:val="0"/>
              <w:widowControl w:val="0"/>
              <w:kinsoku/>
              <w:wordWrap/>
              <w:overflowPunct/>
              <w:topLinePunct w:val="0"/>
              <w:autoSpaceDE/>
              <w:autoSpaceDN/>
              <w:bidi w:val="0"/>
              <w:adjustRightInd/>
              <w:snapToGrid/>
              <w:spacing w:after="0" w:line="320" w:lineRule="exact"/>
              <w:ind w:left="0" w:leftChars="0" w:firstLine="0" w:firstLineChars="0"/>
              <w:jc w:val="lef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运输道路宽度      4.5m</w:t>
            </w:r>
          </w:p>
          <w:p>
            <w:pPr>
              <w:pStyle w:val="21"/>
              <w:keepNext w:val="0"/>
              <w:keepLines w:val="0"/>
              <w:pageBreakBefore w:val="0"/>
              <w:widowControl w:val="0"/>
              <w:kinsoku/>
              <w:wordWrap/>
              <w:overflowPunct/>
              <w:topLinePunct w:val="0"/>
              <w:autoSpaceDE/>
              <w:autoSpaceDN/>
              <w:bidi w:val="0"/>
              <w:adjustRightInd/>
              <w:snapToGrid/>
              <w:spacing w:after="0" w:line="320" w:lineRule="exact"/>
              <w:ind w:left="0" w:leftChars="0" w:firstLine="0" w:firstLineChars="0"/>
              <w:jc w:val="lef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露天最小底部宽度   35m</w:t>
            </w:r>
          </w:p>
          <w:p>
            <w:pPr>
              <w:pStyle w:val="21"/>
              <w:keepNext w:val="0"/>
              <w:keepLines w:val="0"/>
              <w:pageBreakBefore w:val="0"/>
              <w:widowControl w:val="0"/>
              <w:kinsoku/>
              <w:wordWrap/>
              <w:overflowPunct/>
              <w:topLinePunct w:val="0"/>
              <w:autoSpaceDE/>
              <w:autoSpaceDN/>
              <w:bidi w:val="0"/>
              <w:adjustRightInd/>
              <w:snapToGrid/>
              <w:spacing w:after="0" w:line="320" w:lineRule="exact"/>
              <w:ind w:left="0" w:leftChars="0"/>
              <w:jc w:val="left"/>
              <w:textAlignment w:val="auto"/>
              <w:rPr>
                <w:rFonts w:hint="eastAsia" w:ascii="宋体" w:hAnsi="宋体" w:eastAsia="宋体" w:cs="Times New Roman"/>
                <w:color w:val="auto"/>
                <w:kern w:val="2"/>
                <w:sz w:val="21"/>
                <w:szCs w:val="21"/>
                <w:lang w:val="en-US" w:eastAsia="zh-CN" w:bidi="ar-SA"/>
              </w:rPr>
            </w:pPr>
            <w:r>
              <w:rPr>
                <w:rFonts w:hint="eastAsia" w:ascii="宋体" w:hAnsi="宋体" w:eastAsia="宋体" w:cs="Times New Roman"/>
                <w:color w:val="auto"/>
                <w:kern w:val="2"/>
                <w:sz w:val="21"/>
                <w:szCs w:val="21"/>
                <w:lang w:val="en-US" w:eastAsia="zh-CN" w:bidi="ar-SA"/>
              </w:rPr>
              <w:t>最小转弯半径      15m</w:t>
            </w:r>
          </w:p>
          <w:p>
            <w:pPr>
              <w:pStyle w:val="21"/>
              <w:wordWrap/>
              <w:topLinePunct w:val="0"/>
              <w:bidi w:val="0"/>
              <w:spacing w:line="240" w:lineRule="auto"/>
              <w:ind w:left="0" w:leftChars="0"/>
              <w:textAlignment w:val="auto"/>
              <w:rPr>
                <w:rFonts w:hint="eastAsia" w:ascii="宋体" w:hAnsi="宋体"/>
                <w:color w:val="auto"/>
                <w:szCs w:val="21"/>
              </w:rPr>
            </w:pPr>
          </w:p>
          <w:p>
            <w:pPr>
              <w:pStyle w:val="21"/>
              <w:wordWrap/>
              <w:topLinePunct w:val="0"/>
              <w:bidi w:val="0"/>
              <w:spacing w:line="240" w:lineRule="auto"/>
              <w:textAlignment w:val="auto"/>
              <w:rPr>
                <w:rFonts w:hint="eastAsia" w:ascii="宋体" w:hAnsi="宋体" w:eastAsia="宋体"/>
                <w:color w:val="auto"/>
                <w:szCs w:val="21"/>
                <w:lang w:eastAsia="zh-CN"/>
              </w:rPr>
            </w:pPr>
          </w:p>
        </w:tc>
        <w:tc>
          <w:tcPr>
            <w:tcW w:w="2324" w:type="dxa"/>
            <w:noWrap w:val="0"/>
            <w:vAlign w:val="center"/>
          </w:tcPr>
          <w:p>
            <w:pPr>
              <w:pStyle w:val="21"/>
              <w:wordWrap/>
              <w:topLinePunct w:val="0"/>
              <w:bidi w:val="0"/>
              <w:spacing w:line="240" w:lineRule="auto"/>
              <w:ind w:left="0" w:leftChars="0"/>
              <w:textAlignment w:val="auto"/>
              <w:rPr>
                <w:rFonts w:hint="eastAsia" w:ascii="宋体" w:hAnsi="宋体"/>
                <w:color w:val="auto"/>
                <w:szCs w:val="21"/>
              </w:rPr>
            </w:pPr>
            <w:r>
              <w:rPr>
                <w:rFonts w:hint="eastAsia" w:ascii="宋体" w:hAnsi="宋体"/>
                <w:color w:val="auto"/>
                <w:szCs w:val="21"/>
              </w:rPr>
              <w:t>《</w:t>
            </w:r>
            <w:r>
              <w:rPr>
                <w:rFonts w:hint="eastAsia" w:ascii="宋体" w:hAnsi="宋体"/>
                <w:color w:val="auto"/>
                <w:szCs w:val="21"/>
                <w:lang w:eastAsia="zh-CN"/>
              </w:rPr>
              <w:t>安全设施设计</w:t>
            </w:r>
            <w:r>
              <w:rPr>
                <w:rFonts w:hint="eastAsia" w:ascii="宋体" w:hAnsi="宋体"/>
                <w:color w:val="auto"/>
                <w:szCs w:val="21"/>
              </w:rPr>
              <w:t>》</w:t>
            </w:r>
          </w:p>
        </w:tc>
        <w:tc>
          <w:tcPr>
            <w:tcW w:w="2430" w:type="dxa"/>
            <w:noWrap w:val="0"/>
            <w:vAlign w:val="center"/>
          </w:tcPr>
          <w:p>
            <w:pPr>
              <w:pStyle w:val="21"/>
              <w:keepNext w:val="0"/>
              <w:keepLines w:val="0"/>
              <w:pageBreakBefore w:val="0"/>
              <w:widowControl w:val="0"/>
              <w:kinsoku/>
              <w:wordWrap/>
              <w:overflowPunct/>
              <w:topLinePunct w:val="0"/>
              <w:autoSpaceDE/>
              <w:autoSpaceDN/>
              <w:bidi w:val="0"/>
              <w:adjustRightInd/>
              <w:snapToGrid/>
              <w:spacing w:after="0" w:line="320" w:lineRule="exact"/>
              <w:ind w:left="0" w:leftChars="0"/>
              <w:textAlignment w:val="auto"/>
              <w:rPr>
                <w:rFonts w:hint="eastAsia" w:ascii="宋体" w:hAnsi="宋体"/>
                <w:color w:val="auto"/>
                <w:szCs w:val="21"/>
                <w:lang w:val="en-US" w:eastAsia="zh-CN"/>
              </w:rPr>
            </w:pPr>
            <w:r>
              <w:rPr>
                <w:rFonts w:hint="eastAsia" w:ascii="宋体" w:hAnsi="宋体"/>
                <w:color w:val="auto"/>
                <w:szCs w:val="21"/>
                <w:lang w:val="en-US" w:eastAsia="zh-CN"/>
              </w:rPr>
              <w:t>矿区西北部形成了3个平台</w:t>
            </w:r>
            <w:r>
              <w:rPr>
                <w:rFonts w:hint="eastAsia" w:ascii="宋体" w:hAnsi="宋体"/>
                <w:color w:val="auto"/>
                <w:szCs w:val="21"/>
                <w:lang w:eastAsia="zh-CN"/>
              </w:rPr>
              <w:t>，</w:t>
            </w:r>
            <w:r>
              <w:rPr>
                <w:rFonts w:hint="eastAsia" w:ascii="宋体" w:hAnsi="宋体"/>
                <w:color w:val="auto"/>
                <w:szCs w:val="21"/>
                <w:lang w:val="en-US" w:eastAsia="zh-CN"/>
              </w:rPr>
              <w:t>各</w:t>
            </w:r>
            <w:r>
              <w:rPr>
                <w:rFonts w:hint="eastAsia" w:ascii="宋体" w:hAnsi="宋体"/>
                <w:color w:val="auto"/>
                <w:szCs w:val="21"/>
              </w:rPr>
              <w:t>平台</w:t>
            </w:r>
            <w:r>
              <w:rPr>
                <w:rFonts w:hint="eastAsia" w:ascii="宋体" w:hAnsi="宋体"/>
                <w:color w:val="auto"/>
                <w:szCs w:val="21"/>
                <w:lang w:val="en-US" w:eastAsia="zh-CN"/>
              </w:rPr>
              <w:t>分别为：</w:t>
            </w:r>
          </w:p>
          <w:p>
            <w:pPr>
              <w:pStyle w:val="21"/>
              <w:keepNext w:val="0"/>
              <w:keepLines w:val="0"/>
              <w:pageBreakBefore w:val="0"/>
              <w:widowControl w:val="0"/>
              <w:kinsoku/>
              <w:wordWrap/>
              <w:overflowPunct/>
              <w:topLinePunct w:val="0"/>
              <w:autoSpaceDE/>
              <w:autoSpaceDN/>
              <w:bidi w:val="0"/>
              <w:adjustRightInd/>
              <w:snapToGrid/>
              <w:spacing w:after="0" w:line="320" w:lineRule="exact"/>
              <w:ind w:left="0" w:leftChars="0"/>
              <w:textAlignment w:val="auto"/>
              <w:rPr>
                <w:rFonts w:hint="eastAsia" w:ascii="宋体" w:hAnsi="宋体"/>
                <w:color w:val="auto"/>
                <w:szCs w:val="21"/>
                <w:lang w:val="en-GB"/>
              </w:rPr>
            </w:pPr>
            <w:r>
              <w:rPr>
                <w:rFonts w:hint="eastAsia" w:ascii="宋体" w:hAnsi="宋体"/>
                <w:color w:val="auto"/>
                <w:szCs w:val="21"/>
              </w:rPr>
              <w:t>1</w:t>
            </w:r>
            <w:r>
              <w:rPr>
                <w:rFonts w:hint="eastAsia" w:ascii="宋体" w:hAnsi="宋体"/>
                <w:color w:val="auto"/>
                <w:szCs w:val="21"/>
                <w:lang w:val="en-US" w:eastAsia="zh-CN"/>
              </w:rPr>
              <w:t>846</w:t>
            </w:r>
            <w:r>
              <w:rPr>
                <w:rFonts w:hint="eastAsia" w:ascii="宋体" w:hAnsi="宋体"/>
                <w:color w:val="auto"/>
                <w:szCs w:val="21"/>
              </w:rPr>
              <w:t>m平台台阶</w:t>
            </w:r>
            <w:r>
              <w:rPr>
                <w:rFonts w:hint="eastAsia" w:ascii="宋体" w:hAnsi="宋体"/>
                <w:color w:val="auto"/>
                <w:szCs w:val="21"/>
                <w:lang w:val="en-GB"/>
              </w:rPr>
              <w:t>高</w:t>
            </w:r>
            <w:r>
              <w:rPr>
                <w:rFonts w:hint="eastAsia" w:ascii="宋体" w:hAnsi="宋体"/>
                <w:color w:val="auto"/>
                <w:szCs w:val="21"/>
                <w:lang w:val="en-US" w:eastAsia="zh-CN"/>
              </w:rPr>
              <w:t>度</w:t>
            </w:r>
            <w:r>
              <w:rPr>
                <w:rFonts w:hint="eastAsia" w:ascii="宋体" w:hAnsi="宋体"/>
                <w:color w:val="auto"/>
                <w:szCs w:val="21"/>
              </w:rPr>
              <w:t>约</w:t>
            </w:r>
            <w:r>
              <w:rPr>
                <w:rFonts w:hint="eastAsia" w:ascii="宋体" w:hAnsi="宋体"/>
                <w:color w:val="auto"/>
                <w:szCs w:val="21"/>
                <w:lang w:val="en-US" w:eastAsia="zh-CN"/>
              </w:rPr>
              <w:t>4</w:t>
            </w:r>
            <w:r>
              <w:rPr>
                <w:rFonts w:hint="eastAsia" w:ascii="宋体" w:hAnsi="宋体" w:eastAsia="宋体" w:cs="宋体"/>
                <w:color w:val="auto"/>
                <w:szCs w:val="21"/>
                <w:lang w:val="en-US" w:eastAsia="zh-CN"/>
              </w:rPr>
              <w:t>-</w:t>
            </w:r>
            <w:r>
              <w:rPr>
                <w:rFonts w:hint="eastAsia" w:ascii="宋体" w:hAnsi="宋体"/>
                <w:color w:val="auto"/>
                <w:szCs w:val="21"/>
                <w:lang w:val="en-US" w:eastAsia="zh-CN"/>
              </w:rPr>
              <w:t>9</w:t>
            </w:r>
            <w:r>
              <w:rPr>
                <w:rFonts w:hint="eastAsia" w:ascii="宋体" w:hAnsi="宋体"/>
                <w:color w:val="auto"/>
                <w:szCs w:val="21"/>
                <w:lang w:val="en-GB"/>
              </w:rPr>
              <w:t>m</w:t>
            </w:r>
            <w:r>
              <w:rPr>
                <w:rFonts w:hint="eastAsia" w:ascii="宋体" w:hAnsi="宋体"/>
                <w:color w:val="auto"/>
                <w:szCs w:val="21"/>
                <w:lang w:val="en-GB" w:eastAsia="zh-CN"/>
              </w:rPr>
              <w:t>，</w:t>
            </w:r>
            <w:r>
              <w:rPr>
                <w:rFonts w:hint="eastAsia" w:ascii="宋体" w:hAnsi="宋体"/>
                <w:color w:val="auto"/>
                <w:szCs w:val="21"/>
                <w:lang w:val="en-US" w:eastAsia="zh-CN"/>
              </w:rPr>
              <w:t>平台</w:t>
            </w:r>
            <w:r>
              <w:rPr>
                <w:rFonts w:hint="eastAsia" w:ascii="宋体" w:hAnsi="宋体"/>
                <w:color w:val="auto"/>
                <w:szCs w:val="21"/>
                <w:lang w:val="en-GB"/>
              </w:rPr>
              <w:t>宽</w:t>
            </w:r>
            <w:r>
              <w:rPr>
                <w:rFonts w:hint="eastAsia" w:ascii="宋体" w:hAnsi="宋体"/>
                <w:color w:val="auto"/>
                <w:szCs w:val="21"/>
                <w:lang w:val="en-US" w:eastAsia="zh-CN"/>
              </w:rPr>
              <w:t>度约5</w:t>
            </w:r>
            <w:r>
              <w:rPr>
                <w:rFonts w:hint="eastAsia" w:ascii="宋体" w:hAnsi="宋体" w:cs="宋体"/>
                <w:color w:val="auto"/>
                <w:szCs w:val="21"/>
                <w:lang w:val="en-US" w:eastAsia="zh-CN"/>
              </w:rPr>
              <w:t>-</w:t>
            </w:r>
            <w:r>
              <w:rPr>
                <w:rFonts w:hint="eastAsia" w:ascii="宋体" w:hAnsi="宋体"/>
                <w:color w:val="auto"/>
                <w:szCs w:val="21"/>
                <w:lang w:val="en-US" w:eastAsia="zh-CN"/>
              </w:rPr>
              <w:t>7</w:t>
            </w:r>
            <w:r>
              <w:rPr>
                <w:rFonts w:hint="eastAsia" w:ascii="宋体" w:hAnsi="宋体"/>
                <w:color w:val="auto"/>
                <w:szCs w:val="21"/>
                <w:lang w:val="en-GB"/>
              </w:rPr>
              <w:t>m，</w:t>
            </w:r>
            <w:r>
              <w:rPr>
                <w:rFonts w:hint="eastAsia" w:ascii="宋体" w:hAnsi="宋体"/>
                <w:color w:val="auto"/>
                <w:szCs w:val="21"/>
              </w:rPr>
              <w:t>工作线长度约</w:t>
            </w:r>
            <w:r>
              <w:rPr>
                <w:rFonts w:hint="eastAsia" w:ascii="宋体" w:hAnsi="宋体"/>
                <w:color w:val="auto"/>
                <w:szCs w:val="21"/>
                <w:lang w:val="en-US" w:eastAsia="zh-CN"/>
              </w:rPr>
              <w:t>67</w:t>
            </w:r>
            <w:r>
              <w:rPr>
                <w:rFonts w:hint="eastAsia" w:ascii="宋体" w:hAnsi="宋体"/>
                <w:color w:val="auto"/>
                <w:szCs w:val="21"/>
              </w:rPr>
              <w:t>m</w:t>
            </w:r>
            <w:r>
              <w:rPr>
                <w:rFonts w:hint="eastAsia" w:ascii="宋体" w:hAnsi="宋体"/>
                <w:color w:val="auto"/>
                <w:szCs w:val="21"/>
                <w:lang w:eastAsia="zh-CN"/>
              </w:rPr>
              <w:t>，</w:t>
            </w:r>
            <w:r>
              <w:rPr>
                <w:rFonts w:hint="eastAsia" w:ascii="宋体" w:hAnsi="宋体"/>
                <w:color w:val="auto"/>
                <w:szCs w:val="21"/>
                <w:lang w:val="en-GB"/>
              </w:rPr>
              <w:t>台阶坡面角</w:t>
            </w:r>
            <w:r>
              <w:rPr>
                <w:rFonts w:hint="eastAsia" w:ascii="宋体" w:hAnsi="宋体"/>
                <w:color w:val="auto"/>
                <w:szCs w:val="21"/>
              </w:rPr>
              <w:t>约</w:t>
            </w:r>
            <w:r>
              <w:rPr>
                <w:rFonts w:hint="eastAsia" w:ascii="宋体" w:hAnsi="宋体"/>
                <w:color w:val="auto"/>
                <w:szCs w:val="21"/>
                <w:lang w:val="en-US" w:eastAsia="zh-CN"/>
              </w:rPr>
              <w:t>45-55</w:t>
            </w:r>
            <w:r>
              <w:rPr>
                <w:rFonts w:hint="eastAsia" w:ascii="宋体" w:hAnsi="宋体"/>
                <w:color w:val="auto"/>
                <w:szCs w:val="21"/>
                <w:lang w:val="en-GB"/>
              </w:rPr>
              <w:t>°；</w:t>
            </w:r>
          </w:p>
          <w:p>
            <w:pPr>
              <w:pStyle w:val="21"/>
              <w:keepNext w:val="0"/>
              <w:keepLines w:val="0"/>
              <w:pageBreakBefore w:val="0"/>
              <w:widowControl w:val="0"/>
              <w:kinsoku/>
              <w:wordWrap/>
              <w:overflowPunct/>
              <w:topLinePunct w:val="0"/>
              <w:autoSpaceDE/>
              <w:autoSpaceDN/>
              <w:bidi w:val="0"/>
              <w:adjustRightInd/>
              <w:snapToGrid/>
              <w:spacing w:after="0" w:line="320" w:lineRule="exact"/>
              <w:ind w:left="0" w:leftChars="0"/>
              <w:textAlignment w:val="auto"/>
              <w:rPr>
                <w:rFonts w:hint="eastAsia" w:ascii="宋体" w:hAnsi="宋体"/>
                <w:color w:val="auto"/>
                <w:szCs w:val="21"/>
                <w:lang w:val="en-GB"/>
              </w:rPr>
            </w:pPr>
            <w:r>
              <w:rPr>
                <w:rFonts w:hint="eastAsia" w:ascii="宋体" w:hAnsi="宋体"/>
                <w:color w:val="auto"/>
                <w:szCs w:val="21"/>
                <w:lang w:val="en-US" w:eastAsia="zh-CN"/>
              </w:rPr>
              <w:t>1837m平台</w:t>
            </w:r>
            <w:r>
              <w:rPr>
                <w:rFonts w:hint="eastAsia" w:ascii="宋体" w:hAnsi="宋体"/>
                <w:color w:val="auto"/>
                <w:szCs w:val="21"/>
              </w:rPr>
              <w:t>台阶</w:t>
            </w:r>
            <w:r>
              <w:rPr>
                <w:rFonts w:hint="eastAsia" w:ascii="宋体" w:hAnsi="宋体"/>
                <w:color w:val="auto"/>
                <w:szCs w:val="21"/>
                <w:lang w:val="en-GB"/>
              </w:rPr>
              <w:t>高</w:t>
            </w:r>
            <w:r>
              <w:rPr>
                <w:rFonts w:hint="eastAsia" w:ascii="宋体" w:hAnsi="宋体"/>
                <w:color w:val="auto"/>
                <w:szCs w:val="21"/>
                <w:lang w:val="en-US" w:eastAsia="zh-CN"/>
              </w:rPr>
              <w:t>度</w:t>
            </w:r>
            <w:r>
              <w:rPr>
                <w:rFonts w:hint="eastAsia" w:ascii="宋体" w:hAnsi="宋体"/>
                <w:color w:val="auto"/>
                <w:szCs w:val="21"/>
              </w:rPr>
              <w:t>约</w:t>
            </w:r>
            <w:r>
              <w:rPr>
                <w:rFonts w:hint="eastAsia" w:ascii="宋体" w:hAnsi="宋体"/>
                <w:color w:val="auto"/>
                <w:szCs w:val="21"/>
                <w:lang w:val="en-US" w:eastAsia="zh-CN"/>
              </w:rPr>
              <w:t>9</w:t>
            </w:r>
            <w:r>
              <w:rPr>
                <w:rFonts w:hint="eastAsia" w:ascii="宋体" w:hAnsi="宋体"/>
                <w:color w:val="auto"/>
                <w:szCs w:val="21"/>
                <w:lang w:val="en-GB"/>
              </w:rPr>
              <w:t>m</w:t>
            </w:r>
            <w:r>
              <w:rPr>
                <w:rFonts w:hint="eastAsia" w:ascii="宋体" w:hAnsi="宋体"/>
                <w:color w:val="auto"/>
                <w:szCs w:val="21"/>
                <w:lang w:val="en-US" w:eastAsia="zh-CN"/>
              </w:rPr>
              <w:t>，平台</w:t>
            </w:r>
            <w:r>
              <w:rPr>
                <w:rFonts w:hint="eastAsia" w:ascii="宋体" w:hAnsi="宋体"/>
                <w:color w:val="auto"/>
                <w:szCs w:val="21"/>
                <w:lang w:val="en-GB"/>
              </w:rPr>
              <w:t>宽</w:t>
            </w:r>
            <w:r>
              <w:rPr>
                <w:rFonts w:hint="eastAsia" w:ascii="宋体" w:hAnsi="宋体"/>
                <w:color w:val="auto"/>
                <w:szCs w:val="21"/>
                <w:lang w:val="en-US" w:eastAsia="zh-CN"/>
              </w:rPr>
              <w:t>度</w:t>
            </w:r>
            <w:r>
              <w:rPr>
                <w:rFonts w:hint="eastAsia" w:ascii="宋体" w:hAnsi="宋体"/>
                <w:color w:val="auto"/>
                <w:szCs w:val="21"/>
              </w:rPr>
              <w:t>约</w:t>
            </w:r>
            <w:r>
              <w:rPr>
                <w:rFonts w:hint="eastAsia" w:ascii="宋体" w:hAnsi="宋体"/>
                <w:color w:val="auto"/>
                <w:szCs w:val="21"/>
                <w:lang w:val="en-US" w:eastAsia="zh-CN"/>
              </w:rPr>
              <w:t>4-6</w:t>
            </w:r>
            <w:r>
              <w:rPr>
                <w:rFonts w:hint="eastAsia" w:ascii="宋体" w:hAnsi="宋体"/>
                <w:color w:val="auto"/>
                <w:szCs w:val="21"/>
                <w:lang w:val="en-GB"/>
              </w:rPr>
              <w:t>m，</w:t>
            </w:r>
            <w:r>
              <w:rPr>
                <w:rFonts w:hint="eastAsia" w:ascii="宋体" w:hAnsi="宋体"/>
                <w:color w:val="auto"/>
                <w:szCs w:val="21"/>
              </w:rPr>
              <w:t>工作线长度约</w:t>
            </w:r>
            <w:r>
              <w:rPr>
                <w:rFonts w:hint="eastAsia" w:ascii="宋体" w:hAnsi="宋体"/>
                <w:color w:val="auto"/>
                <w:szCs w:val="21"/>
                <w:lang w:val="en-US" w:eastAsia="zh-CN"/>
              </w:rPr>
              <w:t>85</w:t>
            </w:r>
            <w:r>
              <w:rPr>
                <w:rFonts w:hint="eastAsia" w:ascii="宋体" w:hAnsi="宋体"/>
                <w:color w:val="auto"/>
                <w:szCs w:val="21"/>
              </w:rPr>
              <w:t>m</w:t>
            </w:r>
            <w:r>
              <w:rPr>
                <w:rFonts w:hint="eastAsia" w:ascii="宋体" w:hAnsi="宋体"/>
                <w:color w:val="auto"/>
                <w:szCs w:val="21"/>
                <w:lang w:val="en-GB"/>
              </w:rPr>
              <w:t>，台阶坡面角</w:t>
            </w:r>
            <w:r>
              <w:rPr>
                <w:rFonts w:hint="eastAsia" w:ascii="宋体" w:hAnsi="宋体"/>
                <w:color w:val="auto"/>
                <w:szCs w:val="21"/>
                <w:lang w:val="en-US" w:eastAsia="zh-CN"/>
              </w:rPr>
              <w:t>46-60</w:t>
            </w:r>
            <w:r>
              <w:rPr>
                <w:rFonts w:hint="eastAsia" w:ascii="宋体" w:hAnsi="宋体"/>
                <w:color w:val="auto"/>
                <w:szCs w:val="21"/>
                <w:lang w:val="en-GB"/>
              </w:rPr>
              <w:t>°；</w:t>
            </w:r>
          </w:p>
          <w:p>
            <w:pPr>
              <w:pStyle w:val="21"/>
              <w:keepNext w:val="0"/>
              <w:keepLines w:val="0"/>
              <w:pageBreakBefore w:val="0"/>
              <w:widowControl w:val="0"/>
              <w:kinsoku/>
              <w:wordWrap/>
              <w:overflowPunct/>
              <w:topLinePunct w:val="0"/>
              <w:autoSpaceDE/>
              <w:autoSpaceDN/>
              <w:bidi w:val="0"/>
              <w:adjustRightInd/>
              <w:snapToGrid/>
              <w:spacing w:after="0" w:line="320" w:lineRule="exact"/>
              <w:ind w:left="0" w:leftChars="0"/>
              <w:textAlignment w:val="auto"/>
              <w:rPr>
                <w:rFonts w:hint="eastAsia" w:ascii="宋体" w:hAnsi="宋体"/>
                <w:color w:val="auto"/>
                <w:szCs w:val="21"/>
                <w:lang w:val="en-GB"/>
              </w:rPr>
            </w:pPr>
            <w:r>
              <w:rPr>
                <w:rFonts w:hint="eastAsia" w:ascii="宋体" w:hAnsi="宋体"/>
                <w:color w:val="auto"/>
                <w:szCs w:val="21"/>
                <w:lang w:val="en-US" w:eastAsia="zh-CN"/>
              </w:rPr>
              <w:t>1828m平台</w:t>
            </w:r>
            <w:r>
              <w:rPr>
                <w:rFonts w:hint="eastAsia" w:ascii="宋体" w:hAnsi="宋体"/>
                <w:color w:val="auto"/>
                <w:szCs w:val="21"/>
              </w:rPr>
              <w:t>台阶</w:t>
            </w:r>
            <w:r>
              <w:rPr>
                <w:rFonts w:hint="eastAsia" w:ascii="宋体" w:hAnsi="宋体"/>
                <w:color w:val="auto"/>
                <w:szCs w:val="21"/>
                <w:lang w:val="en-GB"/>
              </w:rPr>
              <w:t>高</w:t>
            </w:r>
            <w:r>
              <w:rPr>
                <w:rFonts w:hint="eastAsia" w:ascii="宋体" w:hAnsi="宋体"/>
                <w:color w:val="auto"/>
                <w:szCs w:val="21"/>
                <w:lang w:val="en-US" w:eastAsia="zh-CN"/>
              </w:rPr>
              <w:t>度</w:t>
            </w:r>
            <w:r>
              <w:rPr>
                <w:rFonts w:hint="eastAsia" w:ascii="宋体" w:hAnsi="宋体"/>
                <w:color w:val="auto"/>
                <w:szCs w:val="21"/>
              </w:rPr>
              <w:t>约</w:t>
            </w:r>
            <w:r>
              <w:rPr>
                <w:rFonts w:hint="eastAsia" w:ascii="宋体" w:hAnsi="宋体"/>
                <w:color w:val="auto"/>
                <w:szCs w:val="21"/>
                <w:lang w:val="en-US" w:eastAsia="zh-CN"/>
              </w:rPr>
              <w:t>9</w:t>
            </w:r>
            <w:r>
              <w:rPr>
                <w:rFonts w:hint="eastAsia" w:ascii="宋体" w:hAnsi="宋体"/>
                <w:color w:val="auto"/>
                <w:szCs w:val="21"/>
                <w:lang w:val="en-GB"/>
              </w:rPr>
              <w:t>m</w:t>
            </w:r>
            <w:r>
              <w:rPr>
                <w:rFonts w:hint="eastAsia" w:ascii="宋体" w:hAnsi="宋体"/>
                <w:color w:val="auto"/>
                <w:szCs w:val="21"/>
                <w:lang w:val="en-US" w:eastAsia="zh-CN"/>
              </w:rPr>
              <w:t>，</w:t>
            </w:r>
            <w:r>
              <w:rPr>
                <w:rFonts w:hint="eastAsia" w:ascii="宋体" w:hAnsi="宋体"/>
                <w:color w:val="auto"/>
                <w:szCs w:val="21"/>
                <w:lang w:val="en-GB"/>
              </w:rPr>
              <w:t>台阶坡面角</w:t>
            </w:r>
            <w:r>
              <w:rPr>
                <w:rFonts w:hint="eastAsia" w:ascii="宋体" w:hAnsi="宋体"/>
                <w:color w:val="auto"/>
                <w:szCs w:val="21"/>
                <w:lang w:val="en-US" w:eastAsia="zh-CN"/>
              </w:rPr>
              <w:t>40-55</w:t>
            </w:r>
            <w:r>
              <w:rPr>
                <w:rFonts w:hint="eastAsia" w:ascii="宋体" w:hAnsi="宋体"/>
                <w:color w:val="auto"/>
                <w:szCs w:val="21"/>
                <w:lang w:val="en-GB"/>
              </w:rPr>
              <w:t>°。</w:t>
            </w:r>
          </w:p>
          <w:p>
            <w:pPr>
              <w:pStyle w:val="21"/>
              <w:keepNext w:val="0"/>
              <w:keepLines w:val="0"/>
              <w:pageBreakBefore w:val="0"/>
              <w:widowControl w:val="0"/>
              <w:kinsoku/>
              <w:wordWrap/>
              <w:overflowPunct/>
              <w:topLinePunct w:val="0"/>
              <w:autoSpaceDE/>
              <w:autoSpaceDN/>
              <w:bidi w:val="0"/>
              <w:adjustRightInd/>
              <w:snapToGrid/>
              <w:spacing w:after="0" w:line="320" w:lineRule="exact"/>
              <w:ind w:left="0" w:leftChars="0"/>
              <w:textAlignment w:val="auto"/>
              <w:rPr>
                <w:rFonts w:hint="eastAsia" w:ascii="宋体" w:hAnsi="宋体"/>
                <w:color w:val="auto"/>
                <w:szCs w:val="21"/>
              </w:rPr>
            </w:pPr>
            <w:r>
              <w:rPr>
                <w:rFonts w:hint="eastAsia" w:ascii="宋体" w:hAnsi="宋体"/>
                <w:color w:val="auto"/>
                <w:szCs w:val="21"/>
              </w:rPr>
              <w:t>采场</w:t>
            </w:r>
            <w:r>
              <w:rPr>
                <w:rFonts w:hint="eastAsia" w:ascii="宋体" w:hAnsi="宋体"/>
                <w:color w:val="auto"/>
                <w:szCs w:val="21"/>
                <w:lang w:val="en-US" w:eastAsia="zh-CN"/>
              </w:rPr>
              <w:t>东北部</w:t>
            </w:r>
            <w:r>
              <w:rPr>
                <w:rFonts w:hint="eastAsia" w:ascii="宋体" w:hAnsi="宋体"/>
                <w:color w:val="auto"/>
                <w:szCs w:val="21"/>
              </w:rPr>
              <w:t>自上而下形成了</w:t>
            </w:r>
            <w:r>
              <w:rPr>
                <w:rFonts w:hint="eastAsia" w:ascii="宋体" w:hAnsi="宋体"/>
                <w:color w:val="auto"/>
                <w:szCs w:val="21"/>
                <w:lang w:val="en-US" w:eastAsia="zh-CN"/>
              </w:rPr>
              <w:t>5</w:t>
            </w:r>
            <w:r>
              <w:rPr>
                <w:rFonts w:hint="eastAsia" w:ascii="宋体" w:hAnsi="宋体"/>
                <w:color w:val="auto"/>
                <w:szCs w:val="21"/>
              </w:rPr>
              <w:t>个</w:t>
            </w:r>
            <w:r>
              <w:rPr>
                <w:rFonts w:hint="eastAsia" w:ascii="宋体" w:hAnsi="宋体"/>
                <w:color w:val="auto"/>
                <w:szCs w:val="21"/>
                <w:lang w:val="en-US" w:eastAsia="zh-CN"/>
              </w:rPr>
              <w:t>平台</w:t>
            </w:r>
            <w:r>
              <w:rPr>
                <w:rFonts w:hint="eastAsia" w:ascii="宋体" w:hAnsi="宋体"/>
                <w:color w:val="auto"/>
                <w:szCs w:val="21"/>
              </w:rPr>
              <w:t>，分别为：</w:t>
            </w:r>
          </w:p>
          <w:p>
            <w:pPr>
              <w:pStyle w:val="21"/>
              <w:keepNext w:val="0"/>
              <w:keepLines w:val="0"/>
              <w:pageBreakBefore w:val="0"/>
              <w:widowControl w:val="0"/>
              <w:kinsoku/>
              <w:wordWrap/>
              <w:overflowPunct/>
              <w:topLinePunct w:val="0"/>
              <w:autoSpaceDE/>
              <w:autoSpaceDN/>
              <w:bidi w:val="0"/>
              <w:adjustRightInd/>
              <w:snapToGrid/>
              <w:spacing w:after="0" w:line="320" w:lineRule="exact"/>
              <w:ind w:left="0" w:leftChars="0"/>
              <w:textAlignment w:val="auto"/>
              <w:rPr>
                <w:rFonts w:hint="eastAsia" w:ascii="宋体" w:hAnsi="宋体"/>
                <w:color w:val="auto"/>
                <w:szCs w:val="21"/>
                <w:lang w:val="en-GB"/>
              </w:rPr>
            </w:pPr>
            <w:r>
              <w:rPr>
                <w:rFonts w:hint="eastAsia" w:ascii="宋体" w:hAnsi="宋体"/>
                <w:color w:val="auto"/>
                <w:szCs w:val="21"/>
              </w:rPr>
              <w:t>1</w:t>
            </w:r>
            <w:r>
              <w:rPr>
                <w:rFonts w:hint="eastAsia" w:ascii="宋体" w:hAnsi="宋体"/>
                <w:color w:val="auto"/>
                <w:szCs w:val="21"/>
                <w:lang w:val="en-US" w:eastAsia="zh-CN"/>
              </w:rPr>
              <w:t>850</w:t>
            </w:r>
            <w:r>
              <w:rPr>
                <w:rFonts w:hint="eastAsia" w:ascii="宋体" w:hAnsi="宋体"/>
                <w:color w:val="auto"/>
                <w:szCs w:val="21"/>
              </w:rPr>
              <w:t>m平台台阶</w:t>
            </w:r>
            <w:r>
              <w:rPr>
                <w:rFonts w:hint="eastAsia" w:ascii="宋体" w:hAnsi="宋体"/>
                <w:color w:val="auto"/>
                <w:szCs w:val="21"/>
                <w:lang w:val="en-GB"/>
              </w:rPr>
              <w:t>高</w:t>
            </w:r>
            <w:r>
              <w:rPr>
                <w:rFonts w:hint="eastAsia" w:ascii="宋体" w:hAnsi="宋体"/>
                <w:color w:val="auto"/>
                <w:szCs w:val="21"/>
                <w:lang w:val="en-US" w:eastAsia="zh-CN"/>
              </w:rPr>
              <w:t>度</w:t>
            </w:r>
            <w:r>
              <w:rPr>
                <w:rFonts w:hint="eastAsia" w:ascii="宋体" w:hAnsi="宋体"/>
                <w:color w:val="auto"/>
                <w:szCs w:val="21"/>
              </w:rPr>
              <w:t>约</w:t>
            </w:r>
            <w:r>
              <w:rPr>
                <w:rFonts w:hint="eastAsia" w:ascii="宋体" w:hAnsi="宋体"/>
                <w:color w:val="auto"/>
                <w:szCs w:val="21"/>
                <w:lang w:val="en-US" w:eastAsia="zh-CN"/>
              </w:rPr>
              <w:t>3-10m</w:t>
            </w:r>
            <w:r>
              <w:rPr>
                <w:rFonts w:hint="eastAsia" w:ascii="宋体" w:hAnsi="宋体"/>
                <w:color w:val="auto"/>
                <w:szCs w:val="21"/>
                <w:lang w:eastAsia="zh-CN"/>
              </w:rPr>
              <w:t>，</w:t>
            </w:r>
            <w:r>
              <w:rPr>
                <w:rFonts w:hint="eastAsia" w:ascii="宋体" w:hAnsi="宋体"/>
                <w:color w:val="auto"/>
                <w:szCs w:val="21"/>
              </w:rPr>
              <w:t>平台</w:t>
            </w:r>
            <w:r>
              <w:rPr>
                <w:rFonts w:hint="eastAsia" w:ascii="宋体" w:hAnsi="宋体"/>
                <w:color w:val="auto"/>
                <w:szCs w:val="21"/>
                <w:lang w:val="en-GB"/>
              </w:rPr>
              <w:t>宽</w:t>
            </w:r>
            <w:r>
              <w:rPr>
                <w:rFonts w:hint="eastAsia" w:ascii="宋体" w:hAnsi="宋体"/>
                <w:color w:val="auto"/>
                <w:szCs w:val="21"/>
                <w:lang w:val="en-US" w:eastAsia="zh-CN"/>
              </w:rPr>
              <w:t>度约3-6</w:t>
            </w:r>
            <w:r>
              <w:rPr>
                <w:rFonts w:hint="eastAsia" w:ascii="宋体" w:hAnsi="宋体"/>
                <w:color w:val="auto"/>
                <w:szCs w:val="21"/>
                <w:lang w:val="en-GB"/>
              </w:rPr>
              <w:t>m，</w:t>
            </w:r>
            <w:r>
              <w:rPr>
                <w:rFonts w:hint="eastAsia" w:ascii="宋体" w:hAnsi="宋体"/>
                <w:color w:val="auto"/>
                <w:szCs w:val="21"/>
              </w:rPr>
              <w:t>工作线长度约</w:t>
            </w:r>
            <w:r>
              <w:rPr>
                <w:rFonts w:hint="eastAsia" w:ascii="宋体" w:hAnsi="宋体"/>
                <w:color w:val="auto"/>
                <w:szCs w:val="21"/>
                <w:lang w:val="en-US" w:eastAsia="zh-CN"/>
              </w:rPr>
              <w:t>140</w:t>
            </w:r>
            <w:r>
              <w:rPr>
                <w:rFonts w:hint="eastAsia" w:ascii="宋体" w:hAnsi="宋体"/>
                <w:color w:val="auto"/>
                <w:szCs w:val="21"/>
              </w:rPr>
              <w:t>m，</w:t>
            </w:r>
            <w:r>
              <w:rPr>
                <w:rFonts w:hint="eastAsia" w:ascii="宋体" w:hAnsi="宋体"/>
                <w:color w:val="auto"/>
                <w:szCs w:val="21"/>
                <w:lang w:val="en-GB"/>
              </w:rPr>
              <w:t>台阶坡面角</w:t>
            </w:r>
            <w:r>
              <w:rPr>
                <w:rFonts w:hint="eastAsia" w:ascii="宋体" w:hAnsi="宋体"/>
                <w:color w:val="auto"/>
                <w:szCs w:val="21"/>
              </w:rPr>
              <w:t>约</w:t>
            </w:r>
            <w:r>
              <w:rPr>
                <w:rFonts w:hint="eastAsia" w:ascii="宋体" w:hAnsi="宋体"/>
                <w:color w:val="auto"/>
                <w:szCs w:val="21"/>
                <w:lang w:val="en-US" w:eastAsia="zh-CN"/>
              </w:rPr>
              <w:t>45-55</w:t>
            </w:r>
            <w:r>
              <w:rPr>
                <w:rFonts w:hint="eastAsia" w:ascii="宋体" w:hAnsi="宋体"/>
                <w:color w:val="auto"/>
                <w:szCs w:val="21"/>
                <w:lang w:val="en-GB"/>
              </w:rPr>
              <w:t>°；</w:t>
            </w:r>
          </w:p>
          <w:p>
            <w:pPr>
              <w:pStyle w:val="21"/>
              <w:keepNext w:val="0"/>
              <w:keepLines w:val="0"/>
              <w:pageBreakBefore w:val="0"/>
              <w:widowControl w:val="0"/>
              <w:kinsoku/>
              <w:wordWrap/>
              <w:overflowPunct/>
              <w:topLinePunct w:val="0"/>
              <w:autoSpaceDE/>
              <w:autoSpaceDN/>
              <w:bidi w:val="0"/>
              <w:adjustRightInd/>
              <w:snapToGrid/>
              <w:spacing w:after="0" w:line="320" w:lineRule="exact"/>
              <w:ind w:left="0" w:leftChars="0"/>
              <w:textAlignment w:val="auto"/>
              <w:rPr>
                <w:rFonts w:hint="eastAsia" w:ascii="宋体" w:hAnsi="宋体"/>
                <w:color w:val="auto"/>
                <w:szCs w:val="21"/>
                <w:lang w:val="en-GB"/>
              </w:rPr>
            </w:pPr>
            <w:r>
              <w:rPr>
                <w:rFonts w:hint="eastAsia" w:ascii="宋体" w:hAnsi="宋体"/>
                <w:color w:val="auto"/>
                <w:szCs w:val="21"/>
              </w:rPr>
              <w:t>1</w:t>
            </w:r>
            <w:r>
              <w:rPr>
                <w:rFonts w:hint="eastAsia" w:ascii="宋体" w:hAnsi="宋体"/>
                <w:color w:val="auto"/>
                <w:szCs w:val="21"/>
                <w:lang w:val="en-US" w:eastAsia="zh-CN"/>
              </w:rPr>
              <w:t>844</w:t>
            </w:r>
            <w:r>
              <w:rPr>
                <w:rFonts w:hint="eastAsia" w:ascii="宋体" w:hAnsi="宋体"/>
                <w:color w:val="auto"/>
                <w:szCs w:val="21"/>
                <w:lang w:val="en-GB"/>
              </w:rPr>
              <w:t>m</w:t>
            </w:r>
            <w:r>
              <w:rPr>
                <w:rFonts w:hint="eastAsia" w:ascii="宋体" w:hAnsi="宋体"/>
                <w:color w:val="auto"/>
                <w:szCs w:val="21"/>
                <w:lang w:val="en-US" w:eastAsia="zh-CN"/>
              </w:rPr>
              <w:t>运输</w:t>
            </w:r>
            <w:r>
              <w:rPr>
                <w:rFonts w:hint="eastAsia" w:ascii="宋体" w:hAnsi="宋体"/>
                <w:color w:val="auto"/>
                <w:szCs w:val="21"/>
                <w:lang w:val="en-GB"/>
              </w:rPr>
              <w:t>平台</w:t>
            </w:r>
            <w:r>
              <w:rPr>
                <w:rFonts w:hint="eastAsia" w:ascii="宋体" w:hAnsi="宋体"/>
                <w:color w:val="auto"/>
                <w:szCs w:val="21"/>
              </w:rPr>
              <w:t>台阶</w:t>
            </w:r>
            <w:r>
              <w:rPr>
                <w:rFonts w:hint="eastAsia" w:ascii="宋体" w:hAnsi="宋体"/>
                <w:color w:val="auto"/>
                <w:szCs w:val="21"/>
                <w:lang w:val="en-GB"/>
              </w:rPr>
              <w:t>高</w:t>
            </w:r>
            <w:r>
              <w:rPr>
                <w:rFonts w:hint="eastAsia" w:ascii="宋体" w:hAnsi="宋体"/>
                <w:color w:val="auto"/>
                <w:szCs w:val="21"/>
                <w:lang w:val="en-US" w:eastAsia="zh-CN"/>
              </w:rPr>
              <w:t>度</w:t>
            </w:r>
            <w:r>
              <w:rPr>
                <w:rFonts w:hint="eastAsia" w:ascii="宋体" w:hAnsi="宋体"/>
                <w:color w:val="auto"/>
                <w:szCs w:val="21"/>
              </w:rPr>
              <w:t>约</w:t>
            </w:r>
            <w:r>
              <w:rPr>
                <w:rFonts w:hint="eastAsia" w:ascii="宋体" w:hAnsi="宋体"/>
                <w:color w:val="auto"/>
                <w:szCs w:val="21"/>
                <w:lang w:val="en-US" w:eastAsia="zh-CN"/>
              </w:rPr>
              <w:t>2-3m</w:t>
            </w:r>
            <w:r>
              <w:rPr>
                <w:rFonts w:hint="eastAsia" w:ascii="宋体" w:hAnsi="宋体"/>
                <w:color w:val="auto"/>
                <w:szCs w:val="21"/>
                <w:lang w:eastAsia="zh-CN"/>
              </w:rPr>
              <w:t>，</w:t>
            </w:r>
            <w:r>
              <w:rPr>
                <w:rFonts w:hint="eastAsia" w:ascii="宋体" w:hAnsi="宋体"/>
                <w:color w:val="auto"/>
                <w:szCs w:val="21"/>
              </w:rPr>
              <w:t>平台</w:t>
            </w:r>
            <w:r>
              <w:rPr>
                <w:rFonts w:hint="eastAsia" w:ascii="宋体" w:hAnsi="宋体"/>
                <w:color w:val="auto"/>
                <w:szCs w:val="21"/>
                <w:lang w:val="en-GB"/>
              </w:rPr>
              <w:t>宽</w:t>
            </w:r>
            <w:r>
              <w:rPr>
                <w:rFonts w:hint="eastAsia" w:ascii="宋体" w:hAnsi="宋体"/>
                <w:color w:val="auto"/>
                <w:szCs w:val="21"/>
                <w:lang w:val="en-US" w:eastAsia="zh-CN"/>
              </w:rPr>
              <w:t>度约3-5</w:t>
            </w:r>
            <w:r>
              <w:rPr>
                <w:rFonts w:hint="eastAsia" w:ascii="宋体" w:hAnsi="宋体"/>
                <w:color w:val="auto"/>
                <w:szCs w:val="21"/>
                <w:lang w:val="en-GB"/>
              </w:rPr>
              <w:t>m，</w:t>
            </w:r>
            <w:r>
              <w:rPr>
                <w:rFonts w:hint="eastAsia" w:ascii="宋体" w:hAnsi="宋体"/>
                <w:color w:val="auto"/>
                <w:szCs w:val="21"/>
              </w:rPr>
              <w:t>工作线长度约</w:t>
            </w:r>
            <w:r>
              <w:rPr>
                <w:rFonts w:hint="eastAsia" w:ascii="宋体" w:hAnsi="宋体"/>
                <w:color w:val="auto"/>
                <w:szCs w:val="21"/>
                <w:lang w:val="en-US" w:eastAsia="zh-CN"/>
              </w:rPr>
              <w:t>157</w:t>
            </w:r>
            <w:r>
              <w:rPr>
                <w:rFonts w:hint="eastAsia" w:ascii="宋体" w:hAnsi="宋体"/>
                <w:color w:val="auto"/>
                <w:szCs w:val="21"/>
              </w:rPr>
              <w:t>m，</w:t>
            </w:r>
            <w:r>
              <w:rPr>
                <w:rFonts w:hint="eastAsia" w:ascii="宋体" w:hAnsi="宋体"/>
                <w:color w:val="auto"/>
                <w:szCs w:val="21"/>
                <w:lang w:val="en-GB"/>
              </w:rPr>
              <w:t>台阶坡面角</w:t>
            </w:r>
            <w:r>
              <w:rPr>
                <w:rFonts w:hint="eastAsia" w:ascii="宋体" w:hAnsi="宋体"/>
                <w:color w:val="auto"/>
                <w:szCs w:val="21"/>
              </w:rPr>
              <w:t>约</w:t>
            </w:r>
            <w:r>
              <w:rPr>
                <w:rFonts w:hint="eastAsia" w:ascii="宋体" w:hAnsi="宋体"/>
                <w:color w:val="auto"/>
                <w:szCs w:val="21"/>
                <w:lang w:val="en-US" w:eastAsia="zh-CN"/>
              </w:rPr>
              <w:t>50-65</w:t>
            </w:r>
            <w:r>
              <w:rPr>
                <w:rFonts w:hint="eastAsia" w:ascii="宋体" w:hAnsi="宋体"/>
                <w:color w:val="auto"/>
                <w:szCs w:val="21"/>
                <w:lang w:val="en-GB"/>
              </w:rPr>
              <w:t>°；</w:t>
            </w:r>
          </w:p>
          <w:p>
            <w:pPr>
              <w:pStyle w:val="21"/>
              <w:keepNext w:val="0"/>
              <w:keepLines w:val="0"/>
              <w:pageBreakBefore w:val="0"/>
              <w:widowControl w:val="0"/>
              <w:kinsoku/>
              <w:wordWrap/>
              <w:overflowPunct/>
              <w:topLinePunct w:val="0"/>
              <w:autoSpaceDE/>
              <w:autoSpaceDN/>
              <w:bidi w:val="0"/>
              <w:adjustRightInd/>
              <w:snapToGrid/>
              <w:spacing w:after="0" w:line="320" w:lineRule="exact"/>
              <w:ind w:left="0" w:leftChars="0"/>
              <w:textAlignment w:val="auto"/>
              <w:rPr>
                <w:rFonts w:hint="eastAsia" w:ascii="宋体" w:hAnsi="宋体"/>
                <w:color w:val="auto"/>
                <w:szCs w:val="21"/>
                <w:lang w:val="en-GB"/>
              </w:rPr>
            </w:pPr>
            <w:r>
              <w:rPr>
                <w:rFonts w:hint="eastAsia" w:ascii="宋体" w:hAnsi="宋体"/>
                <w:color w:val="auto"/>
                <w:szCs w:val="21"/>
              </w:rPr>
              <w:t>1</w:t>
            </w:r>
            <w:r>
              <w:rPr>
                <w:rFonts w:hint="eastAsia" w:ascii="宋体" w:hAnsi="宋体"/>
                <w:color w:val="auto"/>
                <w:szCs w:val="21"/>
                <w:lang w:val="en-US" w:eastAsia="zh-CN"/>
              </w:rPr>
              <w:t>837</w:t>
            </w:r>
            <w:r>
              <w:rPr>
                <w:rFonts w:hint="eastAsia" w:ascii="宋体" w:hAnsi="宋体"/>
                <w:color w:val="auto"/>
                <w:szCs w:val="21"/>
                <w:lang w:val="en-GB"/>
              </w:rPr>
              <w:t>m</w:t>
            </w:r>
            <w:r>
              <w:rPr>
                <w:rFonts w:hint="eastAsia" w:ascii="宋体" w:hAnsi="宋体"/>
                <w:color w:val="auto"/>
                <w:szCs w:val="21"/>
                <w:lang w:val="en-US" w:eastAsia="zh-CN"/>
              </w:rPr>
              <w:t>运输</w:t>
            </w:r>
            <w:r>
              <w:rPr>
                <w:rFonts w:hint="eastAsia" w:ascii="宋体" w:hAnsi="宋体"/>
                <w:color w:val="auto"/>
                <w:szCs w:val="21"/>
                <w:lang w:val="en-GB"/>
              </w:rPr>
              <w:t>平台</w:t>
            </w:r>
            <w:r>
              <w:rPr>
                <w:rFonts w:hint="eastAsia" w:ascii="宋体" w:hAnsi="宋体"/>
                <w:color w:val="auto"/>
                <w:szCs w:val="21"/>
              </w:rPr>
              <w:t>台阶</w:t>
            </w:r>
            <w:r>
              <w:rPr>
                <w:rFonts w:hint="eastAsia" w:ascii="宋体" w:hAnsi="宋体"/>
                <w:color w:val="auto"/>
                <w:szCs w:val="21"/>
                <w:lang w:val="en-GB"/>
              </w:rPr>
              <w:t>高</w:t>
            </w:r>
            <w:r>
              <w:rPr>
                <w:rFonts w:hint="eastAsia" w:ascii="宋体" w:hAnsi="宋体"/>
                <w:color w:val="auto"/>
                <w:szCs w:val="21"/>
                <w:lang w:val="en-US" w:eastAsia="zh-CN"/>
              </w:rPr>
              <w:t>度</w:t>
            </w:r>
            <w:r>
              <w:rPr>
                <w:rFonts w:hint="eastAsia" w:ascii="宋体" w:hAnsi="宋体"/>
                <w:color w:val="auto"/>
                <w:szCs w:val="21"/>
              </w:rPr>
              <w:t>约</w:t>
            </w:r>
            <w:r>
              <w:rPr>
                <w:rFonts w:hint="eastAsia" w:ascii="宋体" w:hAnsi="宋体"/>
                <w:color w:val="auto"/>
                <w:szCs w:val="21"/>
                <w:lang w:val="en-US" w:eastAsia="zh-CN"/>
              </w:rPr>
              <w:t>5-8m</w:t>
            </w:r>
            <w:r>
              <w:rPr>
                <w:rFonts w:hint="eastAsia" w:ascii="宋体" w:hAnsi="宋体"/>
                <w:color w:val="auto"/>
                <w:szCs w:val="21"/>
                <w:lang w:eastAsia="zh-CN"/>
              </w:rPr>
              <w:t>，</w:t>
            </w:r>
            <w:r>
              <w:rPr>
                <w:rFonts w:hint="eastAsia" w:ascii="宋体" w:hAnsi="宋体"/>
                <w:color w:val="auto"/>
                <w:szCs w:val="21"/>
              </w:rPr>
              <w:t>平台</w:t>
            </w:r>
            <w:r>
              <w:rPr>
                <w:rFonts w:hint="eastAsia" w:ascii="宋体" w:hAnsi="宋体"/>
                <w:color w:val="auto"/>
                <w:szCs w:val="21"/>
                <w:lang w:val="en-GB"/>
              </w:rPr>
              <w:t>宽</w:t>
            </w:r>
            <w:r>
              <w:rPr>
                <w:rFonts w:hint="eastAsia" w:ascii="宋体" w:hAnsi="宋体"/>
                <w:color w:val="auto"/>
                <w:szCs w:val="21"/>
                <w:lang w:val="en-US" w:eastAsia="zh-CN"/>
              </w:rPr>
              <w:t>度约5</w:t>
            </w:r>
            <w:r>
              <w:rPr>
                <w:rFonts w:hint="eastAsia" w:ascii="宋体" w:hAnsi="宋体"/>
                <w:color w:val="auto"/>
                <w:szCs w:val="21"/>
                <w:lang w:val="en-GB"/>
              </w:rPr>
              <w:t>m，</w:t>
            </w:r>
            <w:r>
              <w:rPr>
                <w:rFonts w:hint="eastAsia" w:ascii="宋体" w:hAnsi="宋体"/>
                <w:color w:val="auto"/>
                <w:szCs w:val="21"/>
              </w:rPr>
              <w:t>工作线长度约</w:t>
            </w:r>
            <w:r>
              <w:rPr>
                <w:rFonts w:hint="eastAsia" w:ascii="宋体" w:hAnsi="宋体"/>
                <w:color w:val="auto"/>
                <w:szCs w:val="21"/>
                <w:lang w:val="en-US" w:eastAsia="zh-CN"/>
              </w:rPr>
              <w:t>78</w:t>
            </w:r>
            <w:r>
              <w:rPr>
                <w:rFonts w:hint="eastAsia" w:ascii="宋体" w:hAnsi="宋体"/>
                <w:color w:val="auto"/>
                <w:szCs w:val="21"/>
              </w:rPr>
              <w:t>m，</w:t>
            </w:r>
            <w:r>
              <w:rPr>
                <w:rFonts w:hint="eastAsia" w:ascii="宋体" w:hAnsi="宋体"/>
                <w:color w:val="auto"/>
                <w:szCs w:val="21"/>
                <w:lang w:val="en-GB"/>
              </w:rPr>
              <w:t>台阶坡面角</w:t>
            </w:r>
            <w:r>
              <w:rPr>
                <w:rFonts w:hint="eastAsia" w:ascii="宋体" w:hAnsi="宋体"/>
                <w:color w:val="auto"/>
                <w:szCs w:val="21"/>
              </w:rPr>
              <w:t>约</w:t>
            </w:r>
            <w:r>
              <w:rPr>
                <w:rFonts w:hint="eastAsia" w:ascii="宋体" w:hAnsi="宋体"/>
                <w:color w:val="auto"/>
                <w:szCs w:val="21"/>
                <w:lang w:val="en-US" w:eastAsia="zh-CN"/>
              </w:rPr>
              <w:t>45-65</w:t>
            </w:r>
            <w:r>
              <w:rPr>
                <w:rFonts w:hint="eastAsia" w:ascii="宋体" w:hAnsi="宋体"/>
                <w:color w:val="auto"/>
                <w:szCs w:val="21"/>
                <w:lang w:val="en-GB"/>
              </w:rPr>
              <w:t>°；</w:t>
            </w:r>
          </w:p>
          <w:p>
            <w:pPr>
              <w:pStyle w:val="21"/>
              <w:keepNext w:val="0"/>
              <w:keepLines w:val="0"/>
              <w:pageBreakBefore w:val="0"/>
              <w:widowControl w:val="0"/>
              <w:kinsoku/>
              <w:wordWrap/>
              <w:overflowPunct/>
              <w:topLinePunct w:val="0"/>
              <w:autoSpaceDE/>
              <w:autoSpaceDN/>
              <w:bidi w:val="0"/>
              <w:adjustRightInd/>
              <w:snapToGrid/>
              <w:spacing w:after="0" w:line="320" w:lineRule="exact"/>
              <w:ind w:left="0" w:leftChars="0"/>
              <w:textAlignment w:val="auto"/>
              <w:rPr>
                <w:rFonts w:hint="eastAsia" w:ascii="宋体" w:hAnsi="宋体"/>
                <w:color w:val="auto"/>
                <w:szCs w:val="21"/>
                <w:lang w:val="en-GB"/>
              </w:rPr>
            </w:pPr>
            <w:r>
              <w:rPr>
                <w:rFonts w:hint="eastAsia" w:ascii="宋体" w:hAnsi="宋体"/>
                <w:color w:val="auto"/>
                <w:szCs w:val="21"/>
              </w:rPr>
              <w:t>1</w:t>
            </w:r>
            <w:r>
              <w:rPr>
                <w:rFonts w:hint="eastAsia" w:ascii="宋体" w:hAnsi="宋体"/>
                <w:color w:val="auto"/>
                <w:szCs w:val="21"/>
                <w:lang w:val="en-US" w:eastAsia="zh-CN"/>
              </w:rPr>
              <w:t>830</w:t>
            </w:r>
            <w:r>
              <w:rPr>
                <w:rFonts w:hint="eastAsia" w:ascii="宋体" w:hAnsi="宋体"/>
                <w:color w:val="auto"/>
                <w:szCs w:val="21"/>
                <w:lang w:val="en-GB"/>
              </w:rPr>
              <w:t>m</w:t>
            </w:r>
            <w:r>
              <w:rPr>
                <w:rFonts w:hint="eastAsia" w:ascii="宋体" w:hAnsi="宋体"/>
                <w:color w:val="auto"/>
                <w:szCs w:val="21"/>
                <w:lang w:val="en-US" w:eastAsia="zh-CN"/>
              </w:rPr>
              <w:t>运输</w:t>
            </w:r>
            <w:r>
              <w:rPr>
                <w:rFonts w:hint="eastAsia" w:ascii="宋体" w:hAnsi="宋体"/>
                <w:color w:val="auto"/>
                <w:szCs w:val="21"/>
                <w:lang w:val="en-GB"/>
              </w:rPr>
              <w:t>平台</w:t>
            </w:r>
            <w:r>
              <w:rPr>
                <w:rFonts w:hint="eastAsia" w:ascii="宋体" w:hAnsi="宋体"/>
                <w:color w:val="auto"/>
                <w:szCs w:val="21"/>
              </w:rPr>
              <w:t>台阶</w:t>
            </w:r>
            <w:r>
              <w:rPr>
                <w:rFonts w:hint="eastAsia" w:ascii="宋体" w:hAnsi="宋体"/>
                <w:color w:val="auto"/>
                <w:szCs w:val="21"/>
                <w:lang w:val="en-GB"/>
              </w:rPr>
              <w:t>高</w:t>
            </w:r>
            <w:r>
              <w:rPr>
                <w:rFonts w:hint="eastAsia" w:ascii="宋体" w:hAnsi="宋体"/>
                <w:color w:val="auto"/>
                <w:szCs w:val="21"/>
                <w:lang w:val="en-US" w:eastAsia="zh-CN"/>
              </w:rPr>
              <w:t>度</w:t>
            </w:r>
            <w:r>
              <w:rPr>
                <w:rFonts w:hint="eastAsia" w:ascii="宋体" w:hAnsi="宋体"/>
                <w:color w:val="auto"/>
                <w:szCs w:val="21"/>
              </w:rPr>
              <w:t>约</w:t>
            </w:r>
            <w:r>
              <w:rPr>
                <w:rFonts w:hint="eastAsia" w:ascii="宋体" w:hAnsi="宋体"/>
                <w:color w:val="auto"/>
                <w:szCs w:val="21"/>
                <w:lang w:val="en-US" w:eastAsia="zh-CN"/>
              </w:rPr>
              <w:t>6-8m</w:t>
            </w:r>
            <w:r>
              <w:rPr>
                <w:rFonts w:hint="eastAsia" w:ascii="宋体" w:hAnsi="宋体"/>
                <w:color w:val="auto"/>
                <w:szCs w:val="21"/>
                <w:lang w:eastAsia="zh-CN"/>
              </w:rPr>
              <w:t>，</w:t>
            </w:r>
            <w:r>
              <w:rPr>
                <w:rFonts w:hint="eastAsia" w:ascii="宋体" w:hAnsi="宋体"/>
                <w:color w:val="auto"/>
                <w:szCs w:val="21"/>
              </w:rPr>
              <w:t>平台</w:t>
            </w:r>
            <w:r>
              <w:rPr>
                <w:rFonts w:hint="eastAsia" w:ascii="宋体" w:hAnsi="宋体"/>
                <w:color w:val="auto"/>
                <w:szCs w:val="21"/>
                <w:lang w:val="en-GB"/>
              </w:rPr>
              <w:t>宽</w:t>
            </w:r>
            <w:r>
              <w:rPr>
                <w:rFonts w:hint="eastAsia" w:ascii="宋体" w:hAnsi="宋体"/>
                <w:color w:val="auto"/>
                <w:szCs w:val="21"/>
                <w:lang w:val="en-US" w:eastAsia="zh-CN"/>
              </w:rPr>
              <w:t>度约6</w:t>
            </w:r>
            <w:r>
              <w:rPr>
                <w:rFonts w:hint="eastAsia" w:ascii="宋体" w:hAnsi="宋体"/>
                <w:color w:val="auto"/>
                <w:szCs w:val="21"/>
                <w:lang w:val="en-GB"/>
              </w:rPr>
              <w:t>m，</w:t>
            </w:r>
            <w:r>
              <w:rPr>
                <w:rFonts w:hint="eastAsia" w:ascii="宋体" w:hAnsi="宋体"/>
                <w:color w:val="auto"/>
                <w:szCs w:val="21"/>
              </w:rPr>
              <w:t>工作线长度约</w:t>
            </w:r>
            <w:r>
              <w:rPr>
                <w:rFonts w:hint="eastAsia" w:ascii="宋体" w:hAnsi="宋体"/>
                <w:color w:val="auto"/>
                <w:szCs w:val="21"/>
                <w:lang w:val="en-US" w:eastAsia="zh-CN"/>
              </w:rPr>
              <w:t>74</w:t>
            </w:r>
            <w:r>
              <w:rPr>
                <w:rFonts w:hint="eastAsia" w:ascii="宋体" w:hAnsi="宋体"/>
                <w:color w:val="auto"/>
                <w:szCs w:val="21"/>
              </w:rPr>
              <w:t>m，</w:t>
            </w:r>
            <w:r>
              <w:rPr>
                <w:rFonts w:hint="eastAsia" w:ascii="宋体" w:hAnsi="宋体"/>
                <w:color w:val="auto"/>
                <w:szCs w:val="21"/>
                <w:lang w:val="en-GB"/>
              </w:rPr>
              <w:t>台阶坡面角</w:t>
            </w:r>
            <w:r>
              <w:rPr>
                <w:rFonts w:hint="eastAsia" w:ascii="宋体" w:hAnsi="宋体"/>
                <w:color w:val="auto"/>
                <w:szCs w:val="21"/>
              </w:rPr>
              <w:t>约</w:t>
            </w:r>
            <w:r>
              <w:rPr>
                <w:rFonts w:hint="eastAsia" w:ascii="宋体" w:hAnsi="宋体"/>
                <w:color w:val="auto"/>
                <w:szCs w:val="21"/>
                <w:lang w:val="en-US" w:eastAsia="zh-CN"/>
              </w:rPr>
              <w:t>40-63</w:t>
            </w:r>
            <w:r>
              <w:rPr>
                <w:rFonts w:hint="eastAsia" w:ascii="宋体" w:hAnsi="宋体"/>
                <w:color w:val="auto"/>
                <w:szCs w:val="21"/>
                <w:lang w:val="en-GB"/>
              </w:rPr>
              <w:t>°；</w:t>
            </w:r>
          </w:p>
          <w:p>
            <w:pPr>
              <w:pStyle w:val="21"/>
              <w:keepNext w:val="0"/>
              <w:keepLines w:val="0"/>
              <w:pageBreakBefore w:val="0"/>
              <w:widowControl w:val="0"/>
              <w:kinsoku/>
              <w:wordWrap/>
              <w:overflowPunct/>
              <w:topLinePunct w:val="0"/>
              <w:autoSpaceDE/>
              <w:autoSpaceDN/>
              <w:bidi w:val="0"/>
              <w:adjustRightInd/>
              <w:snapToGrid/>
              <w:spacing w:after="0" w:line="320" w:lineRule="exact"/>
              <w:ind w:left="0" w:leftChars="0"/>
              <w:textAlignment w:val="auto"/>
              <w:rPr>
                <w:rFonts w:hint="eastAsia" w:ascii="宋体" w:hAnsi="宋体" w:eastAsia="宋体"/>
                <w:color w:val="auto"/>
                <w:szCs w:val="21"/>
                <w:lang w:val="en-US" w:eastAsia="zh-CN"/>
              </w:rPr>
            </w:pPr>
            <w:r>
              <w:rPr>
                <w:rFonts w:hint="eastAsia" w:ascii="宋体" w:hAnsi="宋体"/>
                <w:color w:val="auto"/>
                <w:szCs w:val="21"/>
              </w:rPr>
              <w:t>1</w:t>
            </w:r>
            <w:r>
              <w:rPr>
                <w:rFonts w:hint="eastAsia" w:ascii="宋体" w:hAnsi="宋体"/>
                <w:color w:val="auto"/>
                <w:szCs w:val="21"/>
                <w:lang w:val="en-US" w:eastAsia="zh-CN"/>
              </w:rPr>
              <w:t>822</w:t>
            </w:r>
            <w:r>
              <w:rPr>
                <w:rFonts w:hint="eastAsia" w:ascii="宋体" w:hAnsi="宋体"/>
                <w:color w:val="auto"/>
                <w:szCs w:val="21"/>
                <w:lang w:val="en-GB"/>
              </w:rPr>
              <w:t>m平台</w:t>
            </w:r>
            <w:r>
              <w:rPr>
                <w:rFonts w:hint="eastAsia" w:ascii="宋体" w:hAnsi="宋体"/>
                <w:color w:val="auto"/>
                <w:szCs w:val="21"/>
              </w:rPr>
              <w:t>台阶</w:t>
            </w:r>
            <w:r>
              <w:rPr>
                <w:rFonts w:hint="eastAsia" w:ascii="宋体" w:hAnsi="宋体"/>
                <w:color w:val="auto"/>
                <w:szCs w:val="21"/>
                <w:lang w:val="en-GB"/>
              </w:rPr>
              <w:t>高</w:t>
            </w:r>
            <w:r>
              <w:rPr>
                <w:rFonts w:hint="eastAsia" w:ascii="宋体" w:hAnsi="宋体"/>
                <w:color w:val="auto"/>
                <w:szCs w:val="21"/>
                <w:lang w:val="en-US" w:eastAsia="zh-CN"/>
              </w:rPr>
              <w:t>度</w:t>
            </w:r>
            <w:r>
              <w:rPr>
                <w:rFonts w:hint="eastAsia" w:ascii="宋体" w:hAnsi="宋体"/>
                <w:color w:val="auto"/>
                <w:szCs w:val="21"/>
              </w:rPr>
              <w:t>约</w:t>
            </w:r>
            <w:r>
              <w:rPr>
                <w:rFonts w:hint="eastAsia" w:ascii="宋体" w:hAnsi="宋体"/>
                <w:color w:val="auto"/>
                <w:szCs w:val="21"/>
                <w:lang w:val="en-US" w:eastAsia="zh-CN"/>
              </w:rPr>
              <w:t>8m</w:t>
            </w:r>
            <w:r>
              <w:rPr>
                <w:rFonts w:hint="eastAsia" w:ascii="宋体" w:hAnsi="宋体"/>
                <w:color w:val="auto"/>
                <w:szCs w:val="21"/>
                <w:lang w:eastAsia="zh-CN"/>
              </w:rPr>
              <w:t>，</w:t>
            </w:r>
            <w:r>
              <w:rPr>
                <w:rFonts w:hint="eastAsia" w:ascii="宋体" w:hAnsi="宋体"/>
                <w:color w:val="auto"/>
                <w:szCs w:val="21"/>
                <w:lang w:val="en-GB"/>
              </w:rPr>
              <w:t>台阶坡面角</w:t>
            </w:r>
            <w:r>
              <w:rPr>
                <w:rFonts w:hint="eastAsia" w:ascii="宋体" w:hAnsi="宋体"/>
                <w:color w:val="auto"/>
                <w:szCs w:val="21"/>
              </w:rPr>
              <w:t>约</w:t>
            </w:r>
            <w:r>
              <w:rPr>
                <w:rFonts w:hint="eastAsia" w:ascii="宋体" w:hAnsi="宋体"/>
                <w:color w:val="auto"/>
                <w:szCs w:val="21"/>
                <w:lang w:val="en-US" w:eastAsia="zh-CN"/>
              </w:rPr>
              <w:t>55-65</w:t>
            </w:r>
            <w:r>
              <w:rPr>
                <w:rFonts w:hint="eastAsia" w:ascii="宋体" w:hAnsi="宋体"/>
                <w:color w:val="auto"/>
                <w:szCs w:val="21"/>
                <w:lang w:val="en-GB"/>
              </w:rPr>
              <w:t>°</w:t>
            </w:r>
            <w:r>
              <w:rPr>
                <w:rFonts w:hint="eastAsia" w:ascii="宋体" w:hAnsi="宋体"/>
                <w:color w:val="auto"/>
                <w:szCs w:val="21"/>
                <w:lang w:val="en-GB" w:eastAsia="zh-CN"/>
              </w:rPr>
              <w:t>。</w:t>
            </w:r>
          </w:p>
        </w:tc>
        <w:tc>
          <w:tcPr>
            <w:tcW w:w="711" w:type="dxa"/>
            <w:noWrap w:val="0"/>
            <w:vAlign w:val="center"/>
          </w:tcPr>
          <w:p>
            <w:pPr>
              <w:pStyle w:val="27"/>
              <w:wordWrap/>
              <w:topLinePunct w:val="0"/>
              <w:bidi w:val="0"/>
              <w:spacing w:line="240" w:lineRule="auto"/>
              <w:ind w:left="0"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2" w:hRule="atLeast"/>
          <w:jc w:val="center"/>
        </w:trPr>
        <w:tc>
          <w:tcPr>
            <w:tcW w:w="735" w:type="dxa"/>
            <w:noWrap w:val="0"/>
            <w:vAlign w:val="center"/>
          </w:tcPr>
          <w:p>
            <w:pPr>
              <w:pStyle w:val="27"/>
              <w:wordWrap/>
              <w:topLinePunct w:val="0"/>
              <w:bidi w:val="0"/>
              <w:spacing w:line="240" w:lineRule="auto"/>
              <w:ind w:left="420" w:hanging="420"/>
              <w:jc w:val="center"/>
              <w:textAlignment w:val="auto"/>
              <w:rPr>
                <w:rFonts w:hint="eastAsia" w:ascii="宋体" w:hAnsi="宋体"/>
                <w:color w:val="auto"/>
                <w:sz w:val="21"/>
                <w:szCs w:val="21"/>
              </w:rPr>
            </w:pPr>
            <w:r>
              <w:rPr>
                <w:rFonts w:hint="eastAsia" w:ascii="宋体" w:hAnsi="宋体"/>
                <w:color w:val="auto"/>
                <w:sz w:val="21"/>
                <w:szCs w:val="21"/>
              </w:rPr>
              <w:t>3</w:t>
            </w:r>
          </w:p>
        </w:tc>
        <w:tc>
          <w:tcPr>
            <w:tcW w:w="2904" w:type="dxa"/>
            <w:noWrap w:val="0"/>
            <w:vAlign w:val="center"/>
          </w:tcPr>
          <w:p>
            <w:pPr>
              <w:pStyle w:val="21"/>
              <w:wordWrap/>
              <w:topLinePunct w:val="0"/>
              <w:bidi w:val="0"/>
              <w:spacing w:line="240" w:lineRule="auto"/>
              <w:ind w:left="0" w:leftChars="0"/>
              <w:textAlignment w:val="auto"/>
              <w:rPr>
                <w:rFonts w:ascii="宋体" w:hAnsi="宋体"/>
                <w:color w:val="auto"/>
                <w:szCs w:val="21"/>
              </w:rPr>
            </w:pPr>
            <w:r>
              <w:rPr>
                <w:rFonts w:hint="eastAsia" w:ascii="宋体" w:hAnsi="宋体"/>
                <w:color w:val="auto"/>
                <w:szCs w:val="21"/>
              </w:rPr>
              <w:t>露天矿边界应设可靠的围栏或醒目的警示标志，防止无关人员误入。露天矿边界上</w:t>
            </w:r>
            <w:r>
              <w:rPr>
                <w:rFonts w:ascii="宋体" w:hAnsi="宋体"/>
                <w:color w:val="auto"/>
                <w:szCs w:val="21"/>
              </w:rPr>
              <w:t>2m</w:t>
            </w:r>
            <w:r>
              <w:rPr>
                <w:rFonts w:hint="eastAsia" w:ascii="宋体" w:hAnsi="宋体"/>
                <w:color w:val="auto"/>
                <w:szCs w:val="21"/>
              </w:rPr>
              <w:t>范围内，可能危及人员安全的树木及其他植物、不稳固材料和岩石等，应予清除。露天矿边界上覆盖的松散岩土层厚度超过</w:t>
            </w:r>
            <w:r>
              <w:rPr>
                <w:rFonts w:ascii="宋体" w:hAnsi="宋体"/>
                <w:color w:val="auto"/>
                <w:szCs w:val="21"/>
              </w:rPr>
              <w:t>2m</w:t>
            </w:r>
            <w:r>
              <w:rPr>
                <w:rFonts w:hint="eastAsia" w:ascii="宋体" w:hAnsi="宋体"/>
                <w:color w:val="auto"/>
                <w:szCs w:val="21"/>
              </w:rPr>
              <w:t>时，其倾角应小于自然安息角。</w:t>
            </w:r>
          </w:p>
        </w:tc>
        <w:tc>
          <w:tcPr>
            <w:tcW w:w="2324" w:type="dxa"/>
            <w:noWrap w:val="0"/>
            <w:vAlign w:val="center"/>
          </w:tcPr>
          <w:p>
            <w:pPr>
              <w:pStyle w:val="21"/>
              <w:wordWrap/>
              <w:topLinePunct w:val="0"/>
              <w:bidi w:val="0"/>
              <w:spacing w:line="240" w:lineRule="auto"/>
              <w:ind w:left="0" w:leftChars="0"/>
              <w:textAlignment w:val="auto"/>
              <w:rPr>
                <w:rFonts w:ascii="宋体" w:hAnsi="宋体"/>
                <w:color w:val="auto"/>
                <w:szCs w:val="21"/>
              </w:rPr>
            </w:pPr>
            <w:r>
              <w:rPr>
                <w:rFonts w:hint="eastAsia" w:ascii="宋体" w:hAnsi="宋体"/>
                <w:color w:val="auto"/>
                <w:szCs w:val="21"/>
              </w:rPr>
              <w:t>《</w:t>
            </w:r>
            <w:r>
              <w:rPr>
                <w:rFonts w:hint="eastAsia" w:ascii="宋体" w:hAnsi="宋体"/>
                <w:color w:val="auto"/>
                <w:szCs w:val="21"/>
                <w:lang w:eastAsia="zh-CN"/>
              </w:rPr>
              <w:t>安全设施设计</w:t>
            </w:r>
            <w:r>
              <w:rPr>
                <w:rFonts w:hint="eastAsia" w:ascii="宋体" w:hAnsi="宋体"/>
                <w:color w:val="auto"/>
                <w:szCs w:val="21"/>
              </w:rPr>
              <w:t>》、《金属非金属矿山安全规程》GB16423-2020</w:t>
            </w:r>
          </w:p>
        </w:tc>
        <w:tc>
          <w:tcPr>
            <w:tcW w:w="2430" w:type="dxa"/>
            <w:noWrap w:val="0"/>
            <w:vAlign w:val="center"/>
          </w:tcPr>
          <w:p>
            <w:pPr>
              <w:pStyle w:val="21"/>
              <w:wordWrap/>
              <w:topLinePunct w:val="0"/>
              <w:bidi w:val="0"/>
              <w:spacing w:line="240" w:lineRule="auto"/>
              <w:ind w:left="0" w:leftChars="0"/>
              <w:textAlignment w:val="auto"/>
              <w:rPr>
                <w:rFonts w:ascii="宋体" w:hAnsi="宋体"/>
                <w:color w:val="auto"/>
                <w:szCs w:val="21"/>
              </w:rPr>
            </w:pPr>
            <w:r>
              <w:rPr>
                <w:rFonts w:hint="eastAsia" w:ascii="宋体" w:hAnsi="宋体"/>
                <w:color w:val="auto"/>
                <w:szCs w:val="21"/>
              </w:rPr>
              <w:t>露天矿边界设有围栏和醒目的警示标志，防止无关人员误入。</w:t>
            </w:r>
          </w:p>
        </w:tc>
        <w:tc>
          <w:tcPr>
            <w:tcW w:w="711" w:type="dxa"/>
            <w:noWrap w:val="0"/>
            <w:vAlign w:val="center"/>
          </w:tcPr>
          <w:p>
            <w:pPr>
              <w:pStyle w:val="21"/>
              <w:wordWrap/>
              <w:topLinePunct w:val="0"/>
              <w:bidi w:val="0"/>
              <w:spacing w:line="240" w:lineRule="auto"/>
              <w:ind w:left="0" w:leftChars="0" w:firstLine="0" w:firstLineChars="0"/>
              <w:jc w:val="both"/>
              <w:textAlignment w:val="auto"/>
              <w:rPr>
                <w:rFonts w:ascii="宋体" w:hAnsi="宋体"/>
                <w:color w:val="auto"/>
                <w:szCs w:val="21"/>
              </w:rPr>
            </w:pPr>
            <w:r>
              <w:rPr>
                <w:rFonts w:hint="eastAsia"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735" w:type="dxa"/>
            <w:noWrap w:val="0"/>
            <w:vAlign w:val="center"/>
          </w:tcPr>
          <w:p>
            <w:pPr>
              <w:pStyle w:val="27"/>
              <w:wordWrap/>
              <w:topLinePunct w:val="0"/>
              <w:bidi w:val="0"/>
              <w:spacing w:line="240" w:lineRule="auto"/>
              <w:ind w:left="420" w:hanging="420"/>
              <w:jc w:val="center"/>
              <w:textAlignment w:val="auto"/>
              <w:rPr>
                <w:rFonts w:hint="eastAsia" w:ascii="宋体" w:hAnsi="宋体"/>
                <w:color w:val="auto"/>
                <w:sz w:val="21"/>
                <w:szCs w:val="21"/>
              </w:rPr>
            </w:pPr>
            <w:r>
              <w:rPr>
                <w:rFonts w:hint="eastAsia" w:ascii="宋体" w:hAnsi="宋体"/>
                <w:color w:val="auto"/>
                <w:sz w:val="21"/>
                <w:szCs w:val="21"/>
              </w:rPr>
              <w:t>4</w:t>
            </w:r>
          </w:p>
        </w:tc>
        <w:tc>
          <w:tcPr>
            <w:tcW w:w="2904" w:type="dxa"/>
            <w:noWrap w:val="0"/>
            <w:vAlign w:val="center"/>
          </w:tcPr>
          <w:p>
            <w:pPr>
              <w:pStyle w:val="21"/>
              <w:wordWrap/>
              <w:topLinePunct w:val="0"/>
              <w:bidi w:val="0"/>
              <w:spacing w:line="240" w:lineRule="auto"/>
              <w:ind w:left="0" w:leftChars="0"/>
              <w:textAlignment w:val="auto"/>
              <w:rPr>
                <w:rFonts w:ascii="宋体" w:hAnsi="宋体"/>
                <w:color w:val="auto"/>
                <w:szCs w:val="21"/>
              </w:rPr>
            </w:pPr>
            <w:r>
              <w:rPr>
                <w:rFonts w:hint="eastAsia" w:ascii="宋体" w:hAnsi="宋体"/>
                <w:color w:val="auto"/>
                <w:szCs w:val="21"/>
              </w:rPr>
              <w:t>产尘点和产尘设备，应采取综合防尘技术措施。</w:t>
            </w:r>
          </w:p>
        </w:tc>
        <w:tc>
          <w:tcPr>
            <w:tcW w:w="2324" w:type="dxa"/>
            <w:noWrap w:val="0"/>
            <w:vAlign w:val="center"/>
          </w:tcPr>
          <w:p>
            <w:pPr>
              <w:pStyle w:val="21"/>
              <w:wordWrap/>
              <w:topLinePunct w:val="0"/>
              <w:bidi w:val="0"/>
              <w:spacing w:line="240" w:lineRule="auto"/>
              <w:ind w:left="0" w:leftChars="0"/>
              <w:textAlignment w:val="auto"/>
              <w:rPr>
                <w:rFonts w:ascii="宋体" w:hAnsi="宋体"/>
                <w:color w:val="auto"/>
                <w:szCs w:val="21"/>
              </w:rPr>
            </w:pPr>
            <w:r>
              <w:rPr>
                <w:rFonts w:hint="eastAsia" w:ascii="宋体" w:hAnsi="宋体"/>
                <w:color w:val="auto"/>
                <w:szCs w:val="21"/>
              </w:rPr>
              <w:t>《</w:t>
            </w:r>
            <w:r>
              <w:rPr>
                <w:rFonts w:hint="eastAsia" w:ascii="宋体" w:hAnsi="宋体"/>
                <w:color w:val="auto"/>
                <w:szCs w:val="21"/>
                <w:lang w:eastAsia="zh-CN"/>
              </w:rPr>
              <w:t>安全设施设计</w:t>
            </w:r>
            <w:r>
              <w:rPr>
                <w:rFonts w:hint="eastAsia" w:ascii="宋体" w:hAnsi="宋体"/>
                <w:color w:val="auto"/>
                <w:szCs w:val="21"/>
              </w:rPr>
              <w:t>》、《金属非金属矿山安全规程》GB16423-2020</w:t>
            </w:r>
          </w:p>
        </w:tc>
        <w:tc>
          <w:tcPr>
            <w:tcW w:w="2430" w:type="dxa"/>
            <w:noWrap w:val="0"/>
            <w:vAlign w:val="center"/>
          </w:tcPr>
          <w:p>
            <w:pPr>
              <w:pStyle w:val="21"/>
              <w:wordWrap/>
              <w:topLinePunct w:val="0"/>
              <w:bidi w:val="0"/>
              <w:spacing w:line="240" w:lineRule="auto"/>
              <w:ind w:left="0" w:leftChars="0"/>
              <w:textAlignment w:val="auto"/>
              <w:rPr>
                <w:rFonts w:hint="default" w:ascii="宋体" w:hAnsi="宋体" w:eastAsia="宋体"/>
                <w:color w:val="auto"/>
                <w:szCs w:val="21"/>
                <w:lang w:val="en-US" w:eastAsia="zh-CN"/>
              </w:rPr>
            </w:pPr>
            <w:r>
              <w:rPr>
                <w:rFonts w:hint="eastAsia" w:ascii="宋体" w:hAnsi="宋体"/>
                <w:color w:val="auto"/>
                <w:szCs w:val="21"/>
              </w:rPr>
              <w:t>产尘点：矿区公路采用洒水车</w:t>
            </w:r>
          </w:p>
        </w:tc>
        <w:tc>
          <w:tcPr>
            <w:tcW w:w="711" w:type="dxa"/>
            <w:noWrap w:val="0"/>
            <w:vAlign w:val="center"/>
          </w:tcPr>
          <w:p>
            <w:pPr>
              <w:pStyle w:val="21"/>
              <w:wordWrap/>
              <w:topLinePunct w:val="0"/>
              <w:bidi w:val="0"/>
              <w:spacing w:line="240" w:lineRule="auto"/>
              <w:ind w:left="0" w:leftChars="0" w:firstLine="0" w:firstLineChars="0"/>
              <w:jc w:val="both"/>
              <w:textAlignment w:val="auto"/>
              <w:rPr>
                <w:rFonts w:ascii="宋体" w:hAnsi="宋体"/>
                <w:color w:val="auto"/>
                <w:szCs w:val="21"/>
              </w:rPr>
            </w:pPr>
            <w:r>
              <w:rPr>
                <w:rFonts w:hint="eastAsia"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735" w:type="dxa"/>
            <w:noWrap w:val="0"/>
            <w:vAlign w:val="center"/>
          </w:tcPr>
          <w:p>
            <w:pPr>
              <w:pStyle w:val="27"/>
              <w:wordWrap/>
              <w:topLinePunct w:val="0"/>
              <w:bidi w:val="0"/>
              <w:spacing w:line="240" w:lineRule="auto"/>
              <w:ind w:left="420" w:hanging="420"/>
              <w:jc w:val="center"/>
              <w:textAlignment w:val="auto"/>
              <w:rPr>
                <w:rFonts w:hint="eastAsia" w:ascii="宋体" w:hAnsi="宋体"/>
                <w:color w:val="auto"/>
                <w:sz w:val="21"/>
                <w:szCs w:val="21"/>
              </w:rPr>
            </w:pPr>
            <w:r>
              <w:rPr>
                <w:rFonts w:hint="eastAsia" w:ascii="宋体" w:hAnsi="宋体"/>
                <w:color w:val="auto"/>
                <w:sz w:val="21"/>
                <w:szCs w:val="21"/>
              </w:rPr>
              <w:t>5</w:t>
            </w:r>
          </w:p>
        </w:tc>
        <w:tc>
          <w:tcPr>
            <w:tcW w:w="2904" w:type="dxa"/>
            <w:noWrap w:val="0"/>
            <w:vAlign w:val="center"/>
          </w:tcPr>
          <w:p>
            <w:pPr>
              <w:pStyle w:val="21"/>
              <w:wordWrap/>
              <w:topLinePunct w:val="0"/>
              <w:bidi w:val="0"/>
              <w:spacing w:line="240" w:lineRule="auto"/>
              <w:ind w:left="0" w:leftChars="0"/>
              <w:textAlignment w:val="auto"/>
              <w:rPr>
                <w:rFonts w:ascii="宋体" w:hAnsi="宋体"/>
                <w:color w:val="auto"/>
                <w:szCs w:val="21"/>
              </w:rPr>
            </w:pPr>
            <w:r>
              <w:rPr>
                <w:rFonts w:hint="eastAsia" w:ascii="宋体" w:hAnsi="宋体"/>
                <w:color w:val="auto"/>
                <w:szCs w:val="21"/>
              </w:rPr>
              <w:t>露天采场各作业水平上、下台阶之间的超前距离，应在设计中明确规定。不应从下部不分台阶掏采。采剥工作面不应形成伞檐、空洞等。</w:t>
            </w:r>
          </w:p>
        </w:tc>
        <w:tc>
          <w:tcPr>
            <w:tcW w:w="2324" w:type="dxa"/>
            <w:noWrap w:val="0"/>
            <w:vAlign w:val="center"/>
          </w:tcPr>
          <w:p>
            <w:pPr>
              <w:pStyle w:val="21"/>
              <w:wordWrap/>
              <w:topLinePunct w:val="0"/>
              <w:bidi w:val="0"/>
              <w:spacing w:line="240" w:lineRule="auto"/>
              <w:ind w:left="0" w:leftChars="0"/>
              <w:textAlignment w:val="auto"/>
              <w:rPr>
                <w:rFonts w:hint="eastAsia" w:ascii="宋体" w:hAnsi="宋体"/>
                <w:color w:val="auto"/>
                <w:szCs w:val="21"/>
              </w:rPr>
            </w:pPr>
            <w:r>
              <w:rPr>
                <w:rFonts w:hint="eastAsia" w:ascii="宋体" w:hAnsi="宋体"/>
                <w:color w:val="auto"/>
                <w:szCs w:val="21"/>
              </w:rPr>
              <w:t>《</w:t>
            </w:r>
            <w:r>
              <w:rPr>
                <w:rFonts w:hint="eastAsia" w:ascii="宋体" w:hAnsi="宋体"/>
                <w:color w:val="auto"/>
                <w:szCs w:val="21"/>
                <w:lang w:eastAsia="zh-CN"/>
              </w:rPr>
              <w:t>安全设施设计</w:t>
            </w:r>
            <w:r>
              <w:rPr>
                <w:rFonts w:hint="eastAsia" w:ascii="宋体" w:hAnsi="宋体"/>
                <w:color w:val="auto"/>
                <w:szCs w:val="21"/>
              </w:rPr>
              <w:t>》、《金属非金属矿山安全规程》GB16423-2020</w:t>
            </w:r>
          </w:p>
        </w:tc>
        <w:tc>
          <w:tcPr>
            <w:tcW w:w="2430" w:type="dxa"/>
            <w:noWrap w:val="0"/>
            <w:vAlign w:val="center"/>
          </w:tcPr>
          <w:p>
            <w:pPr>
              <w:pStyle w:val="12"/>
              <w:wordWrap/>
              <w:topLinePunct w:val="0"/>
              <w:bidi w:val="0"/>
              <w:spacing w:line="240" w:lineRule="auto"/>
              <w:textAlignment w:val="auto"/>
              <w:rPr>
                <w:rFonts w:ascii="宋体" w:hAnsi="宋体" w:eastAsia="宋体"/>
                <w:color w:val="auto"/>
                <w:szCs w:val="21"/>
              </w:rPr>
            </w:pPr>
            <w:r>
              <w:rPr>
                <w:rFonts w:hint="eastAsia" w:ascii="宋体" w:hAnsi="宋体" w:eastAsia="宋体"/>
                <w:color w:val="auto"/>
                <w:szCs w:val="21"/>
              </w:rPr>
              <w:t>现场检查自上而下分台阶开采，不存在掏采。</w:t>
            </w:r>
          </w:p>
        </w:tc>
        <w:tc>
          <w:tcPr>
            <w:tcW w:w="711" w:type="dxa"/>
            <w:noWrap w:val="0"/>
            <w:vAlign w:val="center"/>
          </w:tcPr>
          <w:p>
            <w:pPr>
              <w:pStyle w:val="21"/>
              <w:wordWrap/>
              <w:topLinePunct w:val="0"/>
              <w:bidi w:val="0"/>
              <w:spacing w:line="240" w:lineRule="auto"/>
              <w:ind w:left="0" w:leftChars="0" w:firstLine="0" w:firstLineChars="0"/>
              <w:jc w:val="both"/>
              <w:textAlignment w:val="auto"/>
              <w:rPr>
                <w:rFonts w:ascii="宋体" w:hAnsi="宋体"/>
                <w:color w:val="auto"/>
                <w:szCs w:val="21"/>
              </w:rPr>
            </w:pPr>
            <w:r>
              <w:rPr>
                <w:rFonts w:hint="eastAsia"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735" w:type="dxa"/>
            <w:noWrap w:val="0"/>
            <w:vAlign w:val="center"/>
          </w:tcPr>
          <w:p>
            <w:pPr>
              <w:pStyle w:val="27"/>
              <w:wordWrap/>
              <w:topLinePunct w:val="0"/>
              <w:bidi w:val="0"/>
              <w:spacing w:line="240" w:lineRule="auto"/>
              <w:ind w:left="420" w:hanging="420"/>
              <w:jc w:val="center"/>
              <w:textAlignment w:val="auto"/>
              <w:rPr>
                <w:rFonts w:hint="eastAsia" w:ascii="宋体" w:hAnsi="宋体"/>
                <w:color w:val="auto"/>
                <w:sz w:val="21"/>
                <w:szCs w:val="21"/>
              </w:rPr>
            </w:pPr>
            <w:r>
              <w:rPr>
                <w:rFonts w:hint="eastAsia" w:ascii="宋体" w:hAnsi="宋体"/>
                <w:color w:val="auto"/>
                <w:sz w:val="21"/>
                <w:szCs w:val="21"/>
              </w:rPr>
              <w:t>6</w:t>
            </w:r>
          </w:p>
        </w:tc>
        <w:tc>
          <w:tcPr>
            <w:tcW w:w="2904" w:type="dxa"/>
            <w:noWrap w:val="0"/>
            <w:vAlign w:val="center"/>
          </w:tcPr>
          <w:p>
            <w:pPr>
              <w:pStyle w:val="21"/>
              <w:wordWrap/>
              <w:topLinePunct w:val="0"/>
              <w:bidi w:val="0"/>
              <w:spacing w:line="240" w:lineRule="auto"/>
              <w:ind w:left="0" w:leftChars="0"/>
              <w:textAlignment w:val="auto"/>
              <w:rPr>
                <w:rFonts w:hint="eastAsia" w:ascii="宋体" w:hAnsi="宋体"/>
                <w:color w:val="auto"/>
                <w:szCs w:val="21"/>
              </w:rPr>
            </w:pPr>
            <w:r>
              <w:rPr>
                <w:rFonts w:hint="eastAsia" w:ascii="宋体" w:hAnsi="宋体"/>
                <w:color w:val="auto"/>
                <w:szCs w:val="21"/>
              </w:rPr>
              <w:t>边坡浮石清除完毕之前，其下方不应生产；人员和设备不应在边坡底部停留。</w:t>
            </w:r>
          </w:p>
        </w:tc>
        <w:tc>
          <w:tcPr>
            <w:tcW w:w="2324" w:type="dxa"/>
            <w:noWrap w:val="0"/>
            <w:vAlign w:val="center"/>
          </w:tcPr>
          <w:p>
            <w:pPr>
              <w:pStyle w:val="21"/>
              <w:wordWrap/>
              <w:topLinePunct w:val="0"/>
              <w:bidi w:val="0"/>
              <w:spacing w:line="240" w:lineRule="auto"/>
              <w:ind w:left="0" w:leftChars="0"/>
              <w:textAlignment w:val="auto"/>
              <w:rPr>
                <w:rFonts w:hint="eastAsia" w:ascii="宋体" w:hAnsi="宋体"/>
                <w:color w:val="auto"/>
                <w:szCs w:val="21"/>
              </w:rPr>
            </w:pPr>
            <w:r>
              <w:rPr>
                <w:rFonts w:hint="eastAsia" w:ascii="宋体" w:hAnsi="宋体"/>
                <w:color w:val="auto"/>
                <w:szCs w:val="21"/>
              </w:rPr>
              <w:t>《</w:t>
            </w:r>
            <w:r>
              <w:rPr>
                <w:rFonts w:hint="eastAsia" w:ascii="宋体" w:hAnsi="宋体"/>
                <w:color w:val="auto"/>
                <w:szCs w:val="21"/>
                <w:lang w:eastAsia="zh-CN"/>
              </w:rPr>
              <w:t>安全设施设计</w:t>
            </w:r>
            <w:r>
              <w:rPr>
                <w:rFonts w:hint="eastAsia" w:ascii="宋体" w:hAnsi="宋体"/>
                <w:color w:val="auto"/>
                <w:szCs w:val="21"/>
              </w:rPr>
              <w:t>》、《金属非金属矿山安全规程》GB16423-2020</w:t>
            </w:r>
          </w:p>
        </w:tc>
        <w:tc>
          <w:tcPr>
            <w:tcW w:w="2430" w:type="dxa"/>
            <w:noWrap w:val="0"/>
            <w:vAlign w:val="center"/>
          </w:tcPr>
          <w:p>
            <w:pPr>
              <w:pStyle w:val="21"/>
              <w:wordWrap/>
              <w:topLinePunct w:val="0"/>
              <w:bidi w:val="0"/>
              <w:spacing w:line="240" w:lineRule="auto"/>
              <w:ind w:left="0" w:leftChars="0"/>
              <w:textAlignment w:val="auto"/>
              <w:rPr>
                <w:rFonts w:ascii="宋体" w:hAnsi="宋体"/>
                <w:color w:val="auto"/>
                <w:szCs w:val="21"/>
              </w:rPr>
            </w:pPr>
            <w:r>
              <w:rPr>
                <w:rFonts w:hint="eastAsia" w:ascii="宋体" w:hAnsi="宋体"/>
                <w:color w:val="auto"/>
                <w:szCs w:val="21"/>
              </w:rPr>
              <w:t>现场检查，边坡浮石清理，按规程操作。</w:t>
            </w:r>
          </w:p>
        </w:tc>
        <w:tc>
          <w:tcPr>
            <w:tcW w:w="711" w:type="dxa"/>
            <w:noWrap w:val="0"/>
            <w:vAlign w:val="center"/>
          </w:tcPr>
          <w:p>
            <w:pPr>
              <w:pStyle w:val="21"/>
              <w:wordWrap/>
              <w:topLinePunct w:val="0"/>
              <w:bidi w:val="0"/>
              <w:spacing w:line="240" w:lineRule="auto"/>
              <w:ind w:left="0" w:leftChars="0" w:firstLine="0" w:firstLineChars="0"/>
              <w:jc w:val="both"/>
              <w:textAlignment w:val="auto"/>
              <w:rPr>
                <w:rFonts w:hint="eastAsia" w:ascii="宋体" w:hAnsi="宋体"/>
                <w:color w:val="auto"/>
                <w:szCs w:val="21"/>
              </w:rPr>
            </w:pPr>
            <w:r>
              <w:rPr>
                <w:rFonts w:hint="eastAsia"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jc w:val="center"/>
        </w:trPr>
        <w:tc>
          <w:tcPr>
            <w:tcW w:w="735" w:type="dxa"/>
            <w:noWrap w:val="0"/>
            <w:vAlign w:val="center"/>
          </w:tcPr>
          <w:p>
            <w:pPr>
              <w:pStyle w:val="27"/>
              <w:wordWrap/>
              <w:topLinePunct w:val="0"/>
              <w:bidi w:val="0"/>
              <w:spacing w:line="240" w:lineRule="auto"/>
              <w:ind w:left="420" w:hanging="420"/>
              <w:jc w:val="center"/>
              <w:textAlignment w:val="auto"/>
              <w:rPr>
                <w:rFonts w:hint="eastAsia" w:ascii="宋体" w:hAnsi="宋体"/>
                <w:color w:val="auto"/>
                <w:sz w:val="21"/>
                <w:szCs w:val="21"/>
              </w:rPr>
            </w:pPr>
          </w:p>
          <w:p>
            <w:pPr>
              <w:pStyle w:val="27"/>
              <w:wordWrap/>
              <w:topLinePunct w:val="0"/>
              <w:bidi w:val="0"/>
              <w:spacing w:line="240" w:lineRule="auto"/>
              <w:ind w:left="420" w:hanging="420"/>
              <w:jc w:val="center"/>
              <w:textAlignment w:val="auto"/>
              <w:rPr>
                <w:rFonts w:hint="eastAsia" w:ascii="宋体" w:hAnsi="宋体"/>
                <w:color w:val="auto"/>
                <w:sz w:val="21"/>
                <w:szCs w:val="21"/>
              </w:rPr>
            </w:pPr>
            <w:r>
              <w:rPr>
                <w:rFonts w:hint="eastAsia" w:ascii="宋体" w:hAnsi="宋体"/>
                <w:color w:val="auto"/>
                <w:sz w:val="21"/>
                <w:szCs w:val="21"/>
              </w:rPr>
              <w:t>7</w:t>
            </w:r>
          </w:p>
        </w:tc>
        <w:tc>
          <w:tcPr>
            <w:tcW w:w="2904" w:type="dxa"/>
            <w:noWrap w:val="0"/>
            <w:vAlign w:val="center"/>
          </w:tcPr>
          <w:p>
            <w:pPr>
              <w:shd w:val="solid" w:color="FFFFFF" w:fill="auto"/>
              <w:wordWrap/>
              <w:topLinePunct w:val="0"/>
              <w:autoSpaceDN w:val="0"/>
              <w:bidi w:val="0"/>
              <w:spacing w:after="240" w:line="240" w:lineRule="auto"/>
              <w:textAlignment w:val="auto"/>
              <w:rPr>
                <w:rFonts w:ascii="宋体" w:hAnsi="宋体"/>
                <w:color w:val="auto"/>
                <w:szCs w:val="21"/>
              </w:rPr>
            </w:pPr>
            <w:r>
              <w:rPr>
                <w:rFonts w:ascii="宋体" w:hAnsi="宋体"/>
                <w:color w:val="auto"/>
                <w:szCs w:val="21"/>
              </w:rPr>
              <w:t>小型露天采石场应当采用台阶式开采。不能采用台阶式开采的，应当自上而下分层顺序开采。</w:t>
            </w:r>
          </w:p>
        </w:tc>
        <w:tc>
          <w:tcPr>
            <w:tcW w:w="2324" w:type="dxa"/>
            <w:noWrap w:val="0"/>
            <w:vAlign w:val="center"/>
          </w:tcPr>
          <w:p>
            <w:pPr>
              <w:wordWrap/>
              <w:topLinePunct w:val="0"/>
              <w:bidi w:val="0"/>
              <w:adjustRightInd w:val="0"/>
              <w:snapToGrid w:val="0"/>
              <w:spacing w:line="240" w:lineRule="auto"/>
              <w:textAlignment w:val="auto"/>
              <w:rPr>
                <w:rFonts w:ascii="宋体" w:hAnsi="宋体"/>
                <w:color w:val="auto"/>
                <w:szCs w:val="21"/>
              </w:rPr>
            </w:pPr>
            <w:r>
              <w:rPr>
                <w:rFonts w:hint="eastAsia" w:ascii="宋体" w:hAnsi="宋体"/>
                <w:color w:val="auto"/>
                <w:szCs w:val="21"/>
              </w:rPr>
              <w:t>《</w:t>
            </w:r>
            <w:r>
              <w:rPr>
                <w:rFonts w:hint="eastAsia" w:ascii="宋体" w:hAnsi="宋体"/>
                <w:color w:val="auto"/>
                <w:szCs w:val="21"/>
                <w:lang w:eastAsia="zh-CN"/>
              </w:rPr>
              <w:t>初安全设施设计</w:t>
            </w:r>
            <w:r>
              <w:rPr>
                <w:rFonts w:hint="eastAsia" w:ascii="宋体" w:hAnsi="宋体"/>
                <w:color w:val="auto"/>
                <w:szCs w:val="21"/>
              </w:rPr>
              <w:t>》、</w:t>
            </w:r>
            <w:r>
              <w:rPr>
                <w:rFonts w:ascii="宋体" w:hAnsi="宋体"/>
                <w:color w:val="auto"/>
                <w:szCs w:val="21"/>
              </w:rPr>
              <w:t>《小型露天采石场安全管理与监督检查规定》（国家安全生产监督管理总局令第39号）第十五条</w:t>
            </w:r>
          </w:p>
        </w:tc>
        <w:tc>
          <w:tcPr>
            <w:tcW w:w="2430" w:type="dxa"/>
            <w:noWrap w:val="0"/>
            <w:vAlign w:val="center"/>
          </w:tcPr>
          <w:p>
            <w:pPr>
              <w:wordWrap/>
              <w:topLinePunct w:val="0"/>
              <w:bidi w:val="0"/>
              <w:adjustRightInd w:val="0"/>
              <w:snapToGrid w:val="0"/>
              <w:spacing w:line="240" w:lineRule="auto"/>
              <w:jc w:val="center"/>
              <w:textAlignment w:val="auto"/>
              <w:rPr>
                <w:rFonts w:ascii="宋体" w:hAnsi="宋体"/>
                <w:color w:val="auto"/>
                <w:szCs w:val="21"/>
              </w:rPr>
            </w:pPr>
            <w:r>
              <w:rPr>
                <w:rFonts w:hint="eastAsia" w:ascii="宋体" w:hAnsi="宋体"/>
                <w:color w:val="auto"/>
                <w:szCs w:val="21"/>
              </w:rPr>
              <w:t>矿山</w:t>
            </w:r>
            <w:r>
              <w:rPr>
                <w:rFonts w:ascii="宋体" w:hAnsi="宋体"/>
                <w:color w:val="auto"/>
                <w:szCs w:val="21"/>
              </w:rPr>
              <w:t>采用自上而下分台阶开采。</w:t>
            </w:r>
          </w:p>
        </w:tc>
        <w:tc>
          <w:tcPr>
            <w:tcW w:w="711" w:type="dxa"/>
            <w:noWrap w:val="0"/>
            <w:vAlign w:val="center"/>
          </w:tcPr>
          <w:p>
            <w:pPr>
              <w:wordWrap/>
              <w:topLinePunct w:val="0"/>
              <w:bidi w:val="0"/>
              <w:adjustRightInd w:val="0"/>
              <w:snapToGrid w:val="0"/>
              <w:spacing w:line="240" w:lineRule="auto"/>
              <w:jc w:val="center"/>
              <w:textAlignment w:val="auto"/>
              <w:rPr>
                <w:rFonts w:ascii="宋体" w:hAnsi="宋体"/>
                <w:color w:val="auto"/>
                <w:szCs w:val="21"/>
              </w:rPr>
            </w:pPr>
            <w:r>
              <w:rPr>
                <w:rFonts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3" w:hRule="atLeast"/>
          <w:jc w:val="center"/>
        </w:trPr>
        <w:tc>
          <w:tcPr>
            <w:tcW w:w="735" w:type="dxa"/>
            <w:noWrap w:val="0"/>
            <w:vAlign w:val="center"/>
          </w:tcPr>
          <w:p>
            <w:pPr>
              <w:pStyle w:val="107"/>
              <w:wordWrap/>
              <w:topLinePunct w:val="0"/>
              <w:bidi w:val="0"/>
              <w:spacing w:line="240" w:lineRule="auto"/>
              <w:ind w:firstLine="105" w:firstLineChars="50"/>
              <w:textAlignment w:val="auto"/>
              <w:rPr>
                <w:rFonts w:hint="eastAsia" w:ascii="宋体" w:hAnsi="宋体"/>
                <w:color w:val="auto"/>
                <w:sz w:val="21"/>
                <w:szCs w:val="21"/>
                <w:lang w:eastAsia="zh-CN"/>
              </w:rPr>
            </w:pPr>
            <w:r>
              <w:rPr>
                <w:rFonts w:hint="eastAsia" w:ascii="宋体" w:hAnsi="宋体"/>
                <w:color w:val="auto"/>
                <w:sz w:val="21"/>
                <w:szCs w:val="21"/>
                <w:lang w:eastAsia="zh-CN"/>
              </w:rPr>
              <w:t>8</w:t>
            </w:r>
          </w:p>
        </w:tc>
        <w:tc>
          <w:tcPr>
            <w:tcW w:w="2904" w:type="dxa"/>
            <w:noWrap w:val="0"/>
            <w:vAlign w:val="center"/>
          </w:tcPr>
          <w:p>
            <w:pPr>
              <w:wordWrap/>
              <w:topLinePunct w:val="0"/>
              <w:bidi w:val="0"/>
              <w:adjustRightInd w:val="0"/>
              <w:snapToGrid w:val="0"/>
              <w:spacing w:line="240" w:lineRule="auto"/>
              <w:textAlignment w:val="auto"/>
              <w:rPr>
                <w:rFonts w:ascii="宋体" w:hAnsi="宋体"/>
                <w:color w:val="auto"/>
                <w:szCs w:val="21"/>
              </w:rPr>
            </w:pPr>
            <w:r>
              <w:rPr>
                <w:rFonts w:ascii="宋体" w:hAnsi="宋体"/>
                <w:color w:val="auto"/>
                <w:szCs w:val="21"/>
              </w:rPr>
              <w:t>采石场上部需要剥离的，剥离工作面应当超前于开采工作面4米以上。</w:t>
            </w:r>
          </w:p>
        </w:tc>
        <w:tc>
          <w:tcPr>
            <w:tcW w:w="2324" w:type="dxa"/>
            <w:noWrap w:val="0"/>
            <w:vAlign w:val="center"/>
          </w:tcPr>
          <w:p>
            <w:pPr>
              <w:wordWrap/>
              <w:topLinePunct w:val="0"/>
              <w:bidi w:val="0"/>
              <w:adjustRightInd w:val="0"/>
              <w:snapToGrid w:val="0"/>
              <w:spacing w:line="240" w:lineRule="auto"/>
              <w:textAlignment w:val="auto"/>
              <w:rPr>
                <w:rFonts w:ascii="宋体" w:hAnsi="宋体"/>
                <w:color w:val="auto"/>
                <w:szCs w:val="21"/>
              </w:rPr>
            </w:pPr>
            <w:r>
              <w:rPr>
                <w:rFonts w:hint="eastAsia" w:ascii="宋体" w:hAnsi="宋体"/>
                <w:color w:val="auto"/>
                <w:szCs w:val="21"/>
              </w:rPr>
              <w:t>《</w:t>
            </w:r>
            <w:r>
              <w:rPr>
                <w:rFonts w:hint="eastAsia" w:ascii="宋体" w:hAnsi="宋体"/>
                <w:color w:val="auto"/>
                <w:szCs w:val="21"/>
                <w:lang w:eastAsia="zh-CN"/>
              </w:rPr>
              <w:t>安全设施设计</w:t>
            </w:r>
            <w:r>
              <w:rPr>
                <w:rFonts w:hint="eastAsia" w:ascii="宋体" w:hAnsi="宋体"/>
                <w:color w:val="auto"/>
                <w:szCs w:val="21"/>
              </w:rPr>
              <w:t>》、</w:t>
            </w:r>
            <w:r>
              <w:rPr>
                <w:rFonts w:ascii="宋体" w:hAnsi="宋体"/>
                <w:color w:val="auto"/>
                <w:szCs w:val="21"/>
              </w:rPr>
              <w:t>《小型露天采石场安全管理与监督检查规定》（国家安全生产监督管理总局令第39号）十九条</w:t>
            </w:r>
          </w:p>
        </w:tc>
        <w:tc>
          <w:tcPr>
            <w:tcW w:w="2430" w:type="dxa"/>
            <w:noWrap w:val="0"/>
            <w:vAlign w:val="center"/>
          </w:tcPr>
          <w:p>
            <w:pPr>
              <w:wordWrap/>
              <w:topLinePunct w:val="0"/>
              <w:bidi w:val="0"/>
              <w:adjustRightInd w:val="0"/>
              <w:snapToGrid w:val="0"/>
              <w:spacing w:line="240" w:lineRule="auto"/>
              <w:textAlignment w:val="auto"/>
              <w:rPr>
                <w:rFonts w:ascii="宋体" w:hAnsi="宋体"/>
                <w:color w:val="auto"/>
                <w:szCs w:val="21"/>
              </w:rPr>
            </w:pPr>
            <w:r>
              <w:rPr>
                <w:rFonts w:hint="eastAsia" w:ascii="宋体" w:hAnsi="宋体"/>
                <w:color w:val="auto"/>
                <w:szCs w:val="21"/>
              </w:rPr>
              <w:t>按规程作业。</w:t>
            </w:r>
          </w:p>
        </w:tc>
        <w:tc>
          <w:tcPr>
            <w:tcW w:w="711" w:type="dxa"/>
            <w:noWrap w:val="0"/>
            <w:vAlign w:val="center"/>
          </w:tcPr>
          <w:p>
            <w:pPr>
              <w:wordWrap/>
              <w:topLinePunct w:val="0"/>
              <w:bidi w:val="0"/>
              <w:adjustRightInd w:val="0"/>
              <w:snapToGrid w:val="0"/>
              <w:spacing w:line="240" w:lineRule="auto"/>
              <w:jc w:val="center"/>
              <w:textAlignment w:val="auto"/>
              <w:rPr>
                <w:rFonts w:ascii="宋体" w:hAnsi="宋体"/>
                <w:color w:val="auto"/>
                <w:szCs w:val="21"/>
              </w:rPr>
            </w:pPr>
            <w:r>
              <w:rPr>
                <w:rFonts w:ascii="宋体" w:hAnsi="宋体"/>
                <w:color w:val="auto"/>
                <w:szCs w:val="21"/>
              </w:rPr>
              <w:t>符合</w:t>
            </w:r>
          </w:p>
        </w:tc>
      </w:tr>
    </w:tbl>
    <w:p>
      <w:pPr>
        <w:wordWrap/>
        <w:topLinePunct w:val="0"/>
        <w:autoSpaceDE w:val="0"/>
        <w:autoSpaceDN w:val="0"/>
        <w:bidi w:val="0"/>
        <w:adjustRightInd w:val="0"/>
        <w:spacing w:line="500" w:lineRule="exact"/>
        <w:ind w:firstLine="560" w:firstLineChars="200"/>
        <w:textAlignment w:val="auto"/>
        <w:outlineLvl w:val="3"/>
        <w:rPr>
          <w:rFonts w:hint="eastAsia" w:ascii="宋体" w:hAnsi="宋体"/>
          <w:b/>
          <w:bCs/>
          <w:color w:val="auto"/>
          <w:sz w:val="28"/>
          <w:szCs w:val="28"/>
        </w:rPr>
      </w:pPr>
      <w:bookmarkStart w:id="420" w:name="_Toc102829728"/>
      <w:bookmarkStart w:id="421" w:name="_Toc32484"/>
      <w:bookmarkStart w:id="422" w:name="_Toc7827"/>
      <w:r>
        <w:rPr>
          <w:rFonts w:hint="eastAsia" w:ascii="宋体" w:hAnsi="宋体"/>
          <w:b/>
          <w:bCs/>
          <w:color w:val="auto"/>
          <w:sz w:val="28"/>
          <w:szCs w:val="28"/>
        </w:rPr>
        <w:t>4.4.1.</w:t>
      </w:r>
      <w:r>
        <w:rPr>
          <w:rFonts w:hint="eastAsia" w:ascii="宋体" w:hAnsi="宋体"/>
          <w:b/>
          <w:bCs/>
          <w:color w:val="auto"/>
          <w:sz w:val="28"/>
          <w:szCs w:val="28"/>
          <w:lang w:val="en-US" w:eastAsia="zh-CN"/>
        </w:rPr>
        <w:t>2</w:t>
      </w:r>
      <w:r>
        <w:rPr>
          <w:rFonts w:hint="eastAsia" w:ascii="宋体" w:hAnsi="宋体"/>
          <w:b/>
          <w:bCs/>
          <w:color w:val="auto"/>
          <w:sz w:val="28"/>
          <w:szCs w:val="28"/>
        </w:rPr>
        <w:t>现状与设计吻合性分析</w:t>
      </w:r>
      <w:bookmarkEnd w:id="420"/>
      <w:bookmarkEnd w:id="421"/>
      <w:bookmarkEnd w:id="422"/>
    </w:p>
    <w:p>
      <w:pPr>
        <w:wordWrap/>
        <w:topLinePunct w:val="0"/>
        <w:bidi w:val="0"/>
        <w:spacing w:line="500" w:lineRule="exact"/>
        <w:ind w:firstLine="561"/>
        <w:textAlignment w:val="auto"/>
        <w:rPr>
          <w:rFonts w:hint="eastAsia" w:ascii="宋体" w:hAnsi="宋体" w:eastAsia="宋体" w:cs="宋体"/>
          <w:b/>
          <w:bCs/>
          <w:color w:val="auto"/>
          <w:kern w:val="0"/>
          <w:sz w:val="28"/>
          <w:szCs w:val="28"/>
          <w:lang w:val="zh-CN"/>
        </w:rPr>
      </w:pPr>
      <w:r>
        <w:rPr>
          <w:rFonts w:hint="eastAsia" w:ascii="宋体" w:hAnsi="宋体" w:cs="宋体"/>
          <w:b/>
          <w:bCs/>
          <w:color w:val="auto"/>
          <w:kern w:val="0"/>
          <w:sz w:val="28"/>
          <w:szCs w:val="28"/>
          <w:lang w:val="en-US" w:eastAsia="zh-CN"/>
        </w:rPr>
        <w:t>1.</w:t>
      </w:r>
      <w:r>
        <w:rPr>
          <w:rFonts w:hint="eastAsia" w:ascii="宋体" w:hAnsi="宋体" w:eastAsia="宋体" w:cs="宋体"/>
          <w:b/>
          <w:bCs/>
          <w:color w:val="auto"/>
          <w:kern w:val="0"/>
          <w:sz w:val="28"/>
          <w:szCs w:val="28"/>
          <w:lang w:val="zh-CN"/>
        </w:rPr>
        <w:t>设计</w:t>
      </w:r>
      <w:r>
        <w:rPr>
          <w:rFonts w:hint="eastAsia" w:ascii="宋体" w:hAnsi="宋体" w:cs="宋体"/>
          <w:b/>
          <w:bCs/>
          <w:color w:val="auto"/>
          <w:kern w:val="0"/>
          <w:sz w:val="28"/>
          <w:szCs w:val="28"/>
          <w:lang w:val="en-US" w:eastAsia="zh-CN"/>
        </w:rPr>
        <w:t>情况</w:t>
      </w:r>
    </w:p>
    <w:p>
      <w:pPr>
        <w:spacing w:line="500" w:lineRule="exact"/>
        <w:ind w:firstLine="560"/>
        <w:rPr>
          <w:rFonts w:hint="eastAsia" w:ascii="宋体" w:hAnsi="宋体" w:cs="宋体"/>
          <w:color w:val="000000"/>
          <w:sz w:val="28"/>
          <w:szCs w:val="28"/>
        </w:rPr>
      </w:pPr>
      <w:r>
        <w:rPr>
          <w:rFonts w:ascii="宋体" w:hAnsi="宋体" w:cs="宋体"/>
          <w:color w:val="000000"/>
          <w:sz w:val="28"/>
          <w:szCs w:val="28"/>
        </w:rPr>
        <w:t>开采作业工作面参数构成如下：</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采场最低开采标高</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000000"/>
          <w:sz w:val="28"/>
          <w:szCs w:val="28"/>
        </w:rPr>
        <w:t>1845</w:t>
      </w:r>
      <w:r>
        <w:rPr>
          <w:rFonts w:hint="eastAsia" w:ascii="宋体" w:hAnsi="宋体" w:eastAsia="宋体" w:cs="宋体"/>
          <w:color w:val="auto"/>
          <w:sz w:val="28"/>
          <w:szCs w:val="28"/>
        </w:rPr>
        <w:t>m</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采场最高开采标高</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000000"/>
          <w:sz w:val="28"/>
          <w:szCs w:val="28"/>
        </w:rPr>
        <w:t>1888</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0" w:firstLineChars="200"/>
        <w:textAlignment w:val="auto"/>
        <w:rPr>
          <w:rFonts w:ascii="宋体" w:hAnsi="宋体"/>
          <w:color w:val="000000"/>
          <w:sz w:val="28"/>
          <w:szCs w:val="28"/>
        </w:rPr>
      </w:pPr>
      <w:r>
        <w:rPr>
          <w:rFonts w:hint="eastAsia" w:ascii="宋体" w:hAnsi="宋体" w:eastAsia="宋体" w:cs="宋体"/>
          <w:color w:val="auto"/>
          <w:sz w:val="28"/>
          <w:szCs w:val="28"/>
        </w:rPr>
        <w:t>露天采场最大采高</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 xml:space="preserve">     43</w:t>
      </w:r>
      <w:r>
        <w:rPr>
          <w:rFonts w:hint="eastAsia" w:ascii="宋体" w:hAnsi="宋体" w:eastAsia="宋体" w:cs="宋体"/>
          <w:color w:val="auto"/>
          <w:sz w:val="28"/>
          <w:szCs w:val="28"/>
        </w:rPr>
        <w:t>m</w:t>
      </w:r>
    </w:p>
    <w:p>
      <w:pPr>
        <w:spacing w:line="500" w:lineRule="exact"/>
        <w:ind w:firstLine="560" w:firstLineChars="200"/>
        <w:rPr>
          <w:rFonts w:ascii="宋体" w:hAnsi="宋体"/>
          <w:color w:val="000000"/>
          <w:sz w:val="28"/>
          <w:szCs w:val="28"/>
        </w:rPr>
      </w:pPr>
      <w:r>
        <w:rPr>
          <w:rFonts w:ascii="宋体" w:hAnsi="宋体"/>
          <w:color w:val="000000"/>
          <w:sz w:val="28"/>
          <w:szCs w:val="28"/>
        </w:rPr>
        <w:t xml:space="preserve">工作台阶高度：     </w:t>
      </w:r>
      <w:r>
        <w:rPr>
          <w:rFonts w:hint="eastAsia" w:ascii="宋体" w:hAnsi="宋体"/>
          <w:color w:val="000000"/>
          <w:sz w:val="28"/>
          <w:szCs w:val="28"/>
          <w:lang w:val="en-US" w:eastAsia="zh-CN"/>
        </w:rPr>
        <w:t xml:space="preserve">   </w:t>
      </w:r>
      <w:r>
        <w:rPr>
          <w:rFonts w:ascii="宋体" w:hAnsi="宋体"/>
          <w:color w:val="000000"/>
          <w:sz w:val="28"/>
          <w:szCs w:val="28"/>
        </w:rPr>
        <w:t xml:space="preserve"> </w:t>
      </w:r>
      <w:r>
        <w:rPr>
          <w:rFonts w:hint="eastAsia" w:ascii="宋体" w:hAnsi="宋体"/>
          <w:color w:val="000000"/>
          <w:sz w:val="28"/>
          <w:szCs w:val="28"/>
        </w:rPr>
        <w:t>7</w:t>
      </w:r>
      <w:r>
        <w:rPr>
          <w:rFonts w:ascii="宋体" w:hAnsi="宋体"/>
          <w:color w:val="000000"/>
          <w:sz w:val="28"/>
          <w:szCs w:val="28"/>
        </w:rPr>
        <w:t>m</w:t>
      </w:r>
    </w:p>
    <w:p>
      <w:pPr>
        <w:spacing w:line="500" w:lineRule="exact"/>
        <w:ind w:firstLine="560" w:firstLineChars="200"/>
        <w:rPr>
          <w:rFonts w:ascii="宋体" w:hAnsi="宋体"/>
          <w:color w:val="000000"/>
          <w:sz w:val="28"/>
          <w:szCs w:val="28"/>
        </w:rPr>
      </w:pPr>
      <w:r>
        <w:rPr>
          <w:rFonts w:ascii="宋体" w:hAnsi="宋体"/>
          <w:color w:val="000000"/>
          <w:sz w:val="28"/>
          <w:szCs w:val="28"/>
        </w:rPr>
        <w:t xml:space="preserve">台阶坡面角：    </w:t>
      </w:r>
      <w:r>
        <w:rPr>
          <w:rFonts w:hint="eastAsia" w:ascii="宋体" w:hAnsi="宋体"/>
          <w:color w:val="000000"/>
          <w:sz w:val="28"/>
          <w:szCs w:val="28"/>
        </w:rPr>
        <w:t xml:space="preserve">     </w:t>
      </w:r>
      <w:r>
        <w:rPr>
          <w:rFonts w:hint="eastAsia" w:ascii="宋体" w:hAnsi="宋体"/>
          <w:color w:val="000000"/>
          <w:sz w:val="28"/>
          <w:szCs w:val="28"/>
          <w:lang w:val="en-US" w:eastAsia="zh-CN"/>
        </w:rPr>
        <w:t xml:space="preserve">  </w:t>
      </w:r>
      <w:r>
        <w:rPr>
          <w:rFonts w:hint="eastAsia" w:ascii="宋体" w:hAnsi="宋体"/>
          <w:color w:val="000000"/>
          <w:sz w:val="28"/>
          <w:szCs w:val="28"/>
        </w:rPr>
        <w:t>55</w:t>
      </w:r>
      <w:r>
        <w:rPr>
          <w:rFonts w:ascii="宋体" w:hAnsi="宋体"/>
          <w:color w:val="000000"/>
          <w:sz w:val="28"/>
          <w:szCs w:val="28"/>
        </w:rPr>
        <w:t>°</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安全平台宽度：</w:t>
      </w:r>
      <w:r>
        <w:rPr>
          <w:rFonts w:hint="eastAsia" w:ascii="宋体" w:hAnsi="宋体" w:cs="Times New Roman"/>
          <w:color w:val="auto"/>
          <w:sz w:val="28"/>
          <w:szCs w:val="28"/>
          <w:lang w:val="en-US" w:eastAsia="zh-CN"/>
        </w:rPr>
        <w:t xml:space="preserve">         </w:t>
      </w:r>
      <w:r>
        <w:rPr>
          <w:rFonts w:hint="eastAsia" w:ascii="宋体" w:hAnsi="宋体" w:eastAsia="宋体" w:cs="Times New Roman"/>
          <w:color w:val="auto"/>
          <w:sz w:val="28"/>
          <w:szCs w:val="28"/>
        </w:rPr>
        <w:t>4m</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0" w:firstLineChars="200"/>
        <w:textAlignment w:val="auto"/>
        <w:rPr>
          <w:rFonts w:ascii="宋体" w:hAnsi="宋体"/>
          <w:color w:val="000000"/>
          <w:sz w:val="28"/>
          <w:szCs w:val="28"/>
        </w:rPr>
      </w:pPr>
      <w:r>
        <w:rPr>
          <w:rFonts w:hint="eastAsia" w:ascii="宋体" w:hAnsi="宋体" w:eastAsia="宋体" w:cs="Times New Roman"/>
          <w:color w:val="auto"/>
          <w:sz w:val="28"/>
          <w:szCs w:val="28"/>
        </w:rPr>
        <w:t>清扫平台宽度：</w:t>
      </w:r>
      <w:r>
        <w:rPr>
          <w:rFonts w:hint="eastAsia" w:ascii="宋体" w:hAnsi="宋体" w:cs="Times New Roman"/>
          <w:color w:val="auto"/>
          <w:sz w:val="28"/>
          <w:szCs w:val="28"/>
          <w:lang w:val="en-US" w:eastAsia="zh-CN"/>
        </w:rPr>
        <w:t xml:space="preserve">         </w:t>
      </w:r>
      <w:r>
        <w:rPr>
          <w:rFonts w:hint="eastAsia" w:ascii="宋体" w:hAnsi="宋体" w:eastAsia="宋体" w:cs="Times New Roman"/>
          <w:color w:val="auto"/>
          <w:sz w:val="28"/>
          <w:szCs w:val="28"/>
        </w:rPr>
        <w:t>6m</w:t>
      </w:r>
    </w:p>
    <w:p>
      <w:pPr>
        <w:keepNext w:val="0"/>
        <w:keepLines w:val="0"/>
        <w:pageBreakBefore w:val="0"/>
        <w:widowControl w:val="0"/>
        <w:kinsoku/>
        <w:wordWrap/>
        <w:overflowPunct/>
        <w:topLinePunct w:val="0"/>
        <w:autoSpaceDE w:val="0"/>
        <w:autoSpaceDN w:val="0"/>
        <w:bidi w:val="0"/>
        <w:adjustRightInd w:val="0"/>
        <w:snapToGrid w:val="0"/>
        <w:spacing w:line="500" w:lineRule="exact"/>
        <w:ind w:firstLine="560" w:firstLineChars="200"/>
        <w:textAlignment w:val="auto"/>
        <w:rPr>
          <w:rFonts w:hint="eastAsia" w:ascii="宋体" w:hAnsi="宋体" w:eastAsia="宋体" w:cs="宋体"/>
          <w:color w:val="auto"/>
          <w:sz w:val="28"/>
          <w:szCs w:val="28"/>
        </w:rPr>
      </w:pPr>
      <w:r>
        <w:rPr>
          <w:rFonts w:ascii="宋体" w:hAnsi="宋体"/>
          <w:color w:val="000000"/>
          <w:sz w:val="28"/>
          <w:szCs w:val="28"/>
        </w:rPr>
        <w:t xml:space="preserve">最小工作平台宽度：  </w:t>
      </w:r>
      <w:r>
        <w:rPr>
          <w:rFonts w:hint="eastAsia" w:ascii="宋体" w:hAnsi="宋体"/>
          <w:color w:val="000000"/>
          <w:sz w:val="28"/>
          <w:szCs w:val="28"/>
          <w:lang w:val="en-US" w:eastAsia="zh-CN"/>
        </w:rPr>
        <w:t xml:space="preserve">  </w:t>
      </w:r>
      <w:r>
        <w:rPr>
          <w:rFonts w:ascii="宋体" w:hAnsi="宋体"/>
          <w:color w:val="000000"/>
          <w:sz w:val="28"/>
          <w:szCs w:val="28"/>
        </w:rPr>
        <w:t>1</w:t>
      </w:r>
      <w:r>
        <w:rPr>
          <w:rFonts w:hint="eastAsia" w:ascii="宋体" w:hAnsi="宋体"/>
          <w:color w:val="000000"/>
          <w:sz w:val="28"/>
          <w:szCs w:val="28"/>
        </w:rPr>
        <w:t>6</w:t>
      </w:r>
      <w:r>
        <w:rPr>
          <w:rFonts w:ascii="宋体" w:hAnsi="宋体"/>
          <w:color w:val="000000"/>
          <w:sz w:val="28"/>
          <w:szCs w:val="28"/>
        </w:rPr>
        <w:t>m</w:t>
      </w:r>
    </w:p>
    <w:p>
      <w:pPr>
        <w:numPr>
          <w:ilvl w:val="0"/>
          <w:numId w:val="0"/>
        </w:numPr>
        <w:spacing w:line="500" w:lineRule="exact"/>
        <w:ind w:firstLine="560" w:firstLineChars="200"/>
        <w:rPr>
          <w:rFonts w:hint="eastAsia" w:ascii="宋体" w:hAnsi="宋体" w:cs="宋体"/>
          <w:b/>
          <w:bCs/>
          <w:sz w:val="28"/>
          <w:szCs w:val="24"/>
          <w:lang w:val="en-US" w:eastAsia="zh-CN"/>
        </w:rPr>
      </w:pPr>
      <w:r>
        <w:rPr>
          <w:rFonts w:hint="eastAsia" w:ascii="宋体" w:hAnsi="宋体" w:cs="宋体"/>
          <w:b/>
          <w:bCs/>
          <w:sz w:val="28"/>
          <w:szCs w:val="24"/>
          <w:lang w:val="en-US" w:eastAsia="zh-CN"/>
        </w:rPr>
        <w:t>2.现状情况</w:t>
      </w:r>
    </w:p>
    <w:p>
      <w:pPr>
        <w:numPr>
          <w:ilvl w:val="0"/>
          <w:numId w:val="0"/>
        </w:numPr>
        <w:spacing w:line="500" w:lineRule="exact"/>
        <w:ind w:firstLine="560" w:firstLineChars="200"/>
        <w:rPr>
          <w:rFonts w:hint="eastAsia" w:ascii="宋体" w:hAnsi="宋体" w:eastAsia="宋体" w:cs="宋体"/>
          <w:sz w:val="28"/>
          <w:szCs w:val="24"/>
          <w:lang w:val="en-US" w:eastAsia="zh-CN"/>
        </w:rPr>
      </w:pPr>
      <w:r>
        <w:rPr>
          <w:rFonts w:hint="eastAsia" w:ascii="宋体" w:hAnsi="宋体" w:eastAsia="宋体" w:cs="宋体"/>
          <w:sz w:val="28"/>
          <w:szCs w:val="24"/>
        </w:rPr>
        <w:t>现场勘查，</w:t>
      </w:r>
      <w:r>
        <w:rPr>
          <w:rFonts w:hint="eastAsia" w:ascii="宋体" w:hAnsi="宋体" w:eastAsia="宋体" w:cs="Times New Roman"/>
          <w:color w:val="auto"/>
          <w:sz w:val="28"/>
          <w:szCs w:val="28"/>
        </w:rPr>
        <w:t>矿山按安全设施设计自上而下分台阶开采</w:t>
      </w:r>
      <w:r>
        <w:rPr>
          <w:rFonts w:hint="eastAsia" w:ascii="宋体" w:hAnsi="宋体" w:cs="Times New Roman"/>
          <w:color w:val="auto"/>
          <w:sz w:val="28"/>
          <w:szCs w:val="28"/>
          <w:lang w:eastAsia="zh-CN"/>
        </w:rPr>
        <w:t>，</w:t>
      </w:r>
      <w:r>
        <w:rPr>
          <w:rFonts w:hint="eastAsia" w:ascii="宋体" w:hAnsi="宋体" w:eastAsia="宋体" w:cs="宋体"/>
          <w:sz w:val="28"/>
          <w:szCs w:val="24"/>
          <w:lang w:val="en-US" w:eastAsia="zh-CN"/>
        </w:rPr>
        <w:t>各</w:t>
      </w:r>
      <w:r>
        <w:rPr>
          <w:rFonts w:hint="eastAsia" w:ascii="宋体" w:hAnsi="宋体" w:eastAsia="宋体" w:cs="宋体"/>
          <w:sz w:val="28"/>
          <w:szCs w:val="24"/>
        </w:rPr>
        <w:t>平台</w:t>
      </w:r>
      <w:r>
        <w:rPr>
          <w:rFonts w:hint="eastAsia" w:ascii="宋体" w:hAnsi="宋体" w:eastAsia="宋体" w:cs="宋体"/>
          <w:sz w:val="28"/>
          <w:szCs w:val="24"/>
          <w:lang w:val="en-US" w:eastAsia="zh-CN"/>
        </w:rPr>
        <w:t>情况如下表。</w:t>
      </w:r>
    </w:p>
    <w:p>
      <w:pPr>
        <w:wordWrap/>
        <w:topLinePunct w:val="0"/>
        <w:bidi w:val="0"/>
        <w:spacing w:line="500" w:lineRule="exact"/>
        <w:ind w:firstLine="480"/>
        <w:jc w:val="center"/>
        <w:textAlignment w:val="auto"/>
        <w:outlineLvl w:val="9"/>
        <w:rPr>
          <w:rFonts w:hint="eastAsia" w:ascii="宋体" w:hAnsi="宋体"/>
          <w:b/>
          <w:color w:val="auto"/>
          <w:sz w:val="24"/>
        </w:rPr>
      </w:pPr>
    </w:p>
    <w:p>
      <w:pPr>
        <w:wordWrap/>
        <w:topLinePunct w:val="0"/>
        <w:bidi w:val="0"/>
        <w:spacing w:line="500" w:lineRule="exact"/>
        <w:ind w:firstLine="480"/>
        <w:jc w:val="center"/>
        <w:textAlignment w:val="auto"/>
        <w:outlineLvl w:val="9"/>
        <w:rPr>
          <w:rFonts w:hint="eastAsia" w:ascii="宋体" w:hAnsi="宋体"/>
          <w:b/>
          <w:color w:val="auto"/>
          <w:sz w:val="24"/>
        </w:rPr>
      </w:pPr>
    </w:p>
    <w:p>
      <w:pPr>
        <w:wordWrap/>
        <w:topLinePunct w:val="0"/>
        <w:bidi w:val="0"/>
        <w:spacing w:line="500" w:lineRule="exact"/>
        <w:ind w:firstLine="480"/>
        <w:jc w:val="center"/>
        <w:textAlignment w:val="auto"/>
        <w:outlineLvl w:val="9"/>
        <w:rPr>
          <w:rFonts w:hint="eastAsia" w:ascii="宋体" w:hAnsi="宋体"/>
          <w:b/>
          <w:color w:val="auto"/>
          <w:sz w:val="24"/>
        </w:rPr>
      </w:pPr>
    </w:p>
    <w:p>
      <w:pPr>
        <w:wordWrap/>
        <w:topLinePunct w:val="0"/>
        <w:bidi w:val="0"/>
        <w:spacing w:line="500" w:lineRule="exact"/>
        <w:ind w:firstLine="480"/>
        <w:jc w:val="center"/>
        <w:textAlignment w:val="auto"/>
        <w:outlineLvl w:val="9"/>
        <w:rPr>
          <w:rFonts w:hint="eastAsia" w:ascii="宋体" w:hAnsi="宋体"/>
          <w:b/>
          <w:color w:val="auto"/>
          <w:sz w:val="24"/>
        </w:rPr>
      </w:pPr>
      <w:r>
        <w:rPr>
          <w:rFonts w:hint="eastAsia" w:ascii="宋体" w:hAnsi="宋体"/>
          <w:b/>
          <w:color w:val="auto"/>
          <w:sz w:val="24"/>
          <w:lang w:val="en-US" w:eastAsia="zh-CN"/>
        </w:rPr>
        <w:t xml:space="preserve">表4-6 </w:t>
      </w:r>
      <w:r>
        <w:rPr>
          <w:rFonts w:hint="eastAsia" w:ascii="宋体" w:hAnsi="宋体"/>
          <w:b/>
          <w:color w:val="auto"/>
          <w:sz w:val="24"/>
        </w:rPr>
        <w:t>采场台阶参数表</w:t>
      </w:r>
    </w:p>
    <w:tbl>
      <w:tblPr>
        <w:tblStyle w:val="35"/>
        <w:tblW w:w="4828" w:type="pct"/>
        <w:tblInd w:w="1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3"/>
        <w:gridCol w:w="1821"/>
        <w:gridCol w:w="1821"/>
        <w:gridCol w:w="2185"/>
        <w:gridCol w:w="1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5000" w:type="pct"/>
            <w:gridSpan w:val="5"/>
            <w:noWrap w:val="0"/>
            <w:vAlign w:val="center"/>
          </w:tcPr>
          <w:p>
            <w:pPr>
              <w:wordWrap/>
              <w:topLinePunct w:val="0"/>
              <w:bidi w:val="0"/>
              <w:spacing w:line="500" w:lineRule="exact"/>
              <w:jc w:val="center"/>
              <w:textAlignment w:val="auto"/>
              <w:rPr>
                <w:rFonts w:hint="eastAsia" w:ascii="宋体" w:hAnsi="宋体" w:eastAsia="宋体" w:cs="宋体"/>
                <w:b/>
                <w:snapToGrid w:val="0"/>
                <w:color w:val="auto"/>
                <w:kern w:val="0"/>
                <w:sz w:val="21"/>
                <w:szCs w:val="21"/>
                <w:lang w:val="en-US" w:eastAsia="zh-CN"/>
              </w:rPr>
            </w:pPr>
            <w:r>
              <w:rPr>
                <w:rFonts w:hint="eastAsia" w:ascii="宋体" w:hAnsi="宋体" w:eastAsia="宋体" w:cs="宋体"/>
                <w:b/>
                <w:snapToGrid w:val="0"/>
                <w:color w:val="auto"/>
                <w:kern w:val="0"/>
                <w:sz w:val="21"/>
                <w:szCs w:val="21"/>
                <w:lang w:val="en-US" w:eastAsia="zh-CN"/>
              </w:rPr>
              <w:t>西北侧采场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38" w:type="pct"/>
            <w:noWrap w:val="0"/>
            <w:vAlign w:val="center"/>
          </w:tcPr>
          <w:p>
            <w:pPr>
              <w:wordWrap/>
              <w:topLinePunct w:val="0"/>
              <w:bidi w:val="0"/>
              <w:spacing w:line="500" w:lineRule="exact"/>
              <w:jc w:val="center"/>
              <w:textAlignment w:val="auto"/>
              <w:rPr>
                <w:rFonts w:hint="eastAsia" w:ascii="宋体" w:hAnsi="宋体" w:eastAsia="宋体" w:cs="宋体"/>
                <w:b/>
                <w:snapToGrid w:val="0"/>
                <w:color w:val="auto"/>
                <w:kern w:val="0"/>
                <w:sz w:val="21"/>
                <w:szCs w:val="21"/>
              </w:rPr>
            </w:pPr>
            <w:r>
              <w:rPr>
                <w:rFonts w:hint="eastAsia" w:ascii="宋体" w:hAnsi="宋体" w:eastAsia="宋体" w:cs="宋体"/>
                <w:b/>
                <w:snapToGrid w:val="0"/>
                <w:color w:val="auto"/>
                <w:kern w:val="0"/>
                <w:sz w:val="21"/>
                <w:szCs w:val="21"/>
              </w:rPr>
              <w:t>台阶</w:t>
            </w:r>
          </w:p>
        </w:tc>
        <w:tc>
          <w:tcPr>
            <w:tcW w:w="1015" w:type="pct"/>
            <w:noWrap w:val="0"/>
            <w:vAlign w:val="center"/>
          </w:tcPr>
          <w:p>
            <w:pPr>
              <w:wordWrap/>
              <w:topLinePunct w:val="0"/>
              <w:bidi w:val="0"/>
              <w:spacing w:line="500" w:lineRule="exact"/>
              <w:jc w:val="center"/>
              <w:textAlignment w:val="auto"/>
              <w:rPr>
                <w:rFonts w:hint="eastAsia" w:ascii="宋体" w:hAnsi="宋体" w:eastAsia="宋体" w:cs="宋体"/>
                <w:b/>
                <w:snapToGrid w:val="0"/>
                <w:color w:val="auto"/>
                <w:kern w:val="0"/>
                <w:sz w:val="21"/>
                <w:szCs w:val="21"/>
              </w:rPr>
            </w:pPr>
            <w:r>
              <w:rPr>
                <w:rFonts w:hint="eastAsia" w:ascii="宋体" w:hAnsi="宋体" w:eastAsia="宋体" w:cs="宋体"/>
                <w:b/>
                <w:snapToGrid w:val="0"/>
                <w:color w:val="auto"/>
                <w:kern w:val="0"/>
                <w:sz w:val="21"/>
                <w:szCs w:val="21"/>
              </w:rPr>
              <w:t>台阶高度</w:t>
            </w:r>
          </w:p>
        </w:tc>
        <w:tc>
          <w:tcPr>
            <w:tcW w:w="1015" w:type="pct"/>
            <w:noWrap w:val="0"/>
            <w:vAlign w:val="center"/>
          </w:tcPr>
          <w:p>
            <w:pPr>
              <w:wordWrap/>
              <w:topLinePunct w:val="0"/>
              <w:bidi w:val="0"/>
              <w:spacing w:line="500" w:lineRule="exact"/>
              <w:jc w:val="center"/>
              <w:textAlignment w:val="auto"/>
              <w:rPr>
                <w:rFonts w:hint="eastAsia" w:ascii="宋体" w:hAnsi="宋体" w:eastAsia="宋体" w:cs="宋体"/>
                <w:b/>
                <w:snapToGrid w:val="0"/>
                <w:color w:val="auto"/>
                <w:kern w:val="0"/>
                <w:sz w:val="21"/>
                <w:szCs w:val="21"/>
              </w:rPr>
            </w:pPr>
            <w:r>
              <w:rPr>
                <w:rFonts w:hint="eastAsia" w:ascii="宋体" w:hAnsi="宋体" w:eastAsia="宋体" w:cs="宋体"/>
                <w:b/>
                <w:snapToGrid w:val="0"/>
                <w:color w:val="auto"/>
                <w:kern w:val="0"/>
                <w:sz w:val="21"/>
                <w:szCs w:val="21"/>
              </w:rPr>
              <w:t>台阶宽度</w:t>
            </w:r>
          </w:p>
        </w:tc>
        <w:tc>
          <w:tcPr>
            <w:tcW w:w="1218" w:type="pct"/>
            <w:noWrap w:val="0"/>
            <w:vAlign w:val="center"/>
          </w:tcPr>
          <w:p>
            <w:pPr>
              <w:wordWrap/>
              <w:topLinePunct w:val="0"/>
              <w:bidi w:val="0"/>
              <w:spacing w:line="500" w:lineRule="exact"/>
              <w:jc w:val="center"/>
              <w:textAlignment w:val="auto"/>
              <w:rPr>
                <w:rFonts w:hint="eastAsia" w:ascii="宋体" w:hAnsi="宋体" w:eastAsia="宋体" w:cs="宋体"/>
                <w:b/>
                <w:snapToGrid w:val="0"/>
                <w:color w:val="auto"/>
                <w:kern w:val="0"/>
                <w:sz w:val="21"/>
                <w:szCs w:val="21"/>
              </w:rPr>
            </w:pPr>
            <w:r>
              <w:rPr>
                <w:rFonts w:hint="eastAsia" w:ascii="宋体" w:hAnsi="宋体" w:eastAsia="宋体" w:cs="宋体"/>
                <w:b/>
                <w:snapToGrid w:val="0"/>
                <w:color w:val="auto"/>
                <w:kern w:val="0"/>
                <w:sz w:val="21"/>
                <w:szCs w:val="21"/>
              </w:rPr>
              <w:t>台阶坡面角</w:t>
            </w:r>
          </w:p>
        </w:tc>
        <w:tc>
          <w:tcPr>
            <w:tcW w:w="1112" w:type="pct"/>
            <w:noWrap w:val="0"/>
            <w:vAlign w:val="center"/>
          </w:tcPr>
          <w:p>
            <w:pPr>
              <w:wordWrap/>
              <w:topLinePunct w:val="0"/>
              <w:bidi w:val="0"/>
              <w:spacing w:line="500" w:lineRule="exact"/>
              <w:jc w:val="center"/>
              <w:textAlignment w:val="auto"/>
              <w:rPr>
                <w:rFonts w:hint="eastAsia" w:ascii="宋体" w:hAnsi="宋体" w:eastAsia="宋体" w:cs="宋体"/>
                <w:b/>
                <w:snapToGrid w:val="0"/>
                <w:color w:val="auto"/>
                <w:kern w:val="0"/>
                <w:sz w:val="21"/>
                <w:szCs w:val="21"/>
              </w:rPr>
            </w:pPr>
            <w:r>
              <w:rPr>
                <w:rFonts w:hint="eastAsia" w:ascii="宋体" w:hAnsi="宋体" w:eastAsia="宋体" w:cs="宋体"/>
                <w:sz w:val="21"/>
                <w:szCs w:val="21"/>
              </w:rPr>
              <w:t>工作线长度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38" w:type="pct"/>
            <w:noWrap w:val="0"/>
            <w:vAlign w:val="top"/>
          </w:tcPr>
          <w:p>
            <w:pPr>
              <w:wordWrap/>
              <w:topLinePunct w:val="0"/>
              <w:bidi w:val="0"/>
              <w:spacing w:line="500" w:lineRule="exact"/>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sz w:val="21"/>
                <w:szCs w:val="21"/>
              </w:rPr>
              <w:t>1</w:t>
            </w:r>
            <w:r>
              <w:rPr>
                <w:rFonts w:hint="eastAsia" w:ascii="宋体" w:hAnsi="宋体" w:eastAsia="宋体" w:cs="宋体"/>
                <w:sz w:val="21"/>
                <w:szCs w:val="21"/>
                <w:lang w:val="en-US" w:eastAsia="zh-CN"/>
              </w:rPr>
              <w:t>876</w:t>
            </w:r>
            <w:r>
              <w:rPr>
                <w:rFonts w:hint="eastAsia" w:ascii="宋体" w:hAnsi="宋体" w:eastAsia="宋体" w:cs="宋体"/>
                <w:sz w:val="21"/>
                <w:szCs w:val="21"/>
              </w:rPr>
              <w:t>m</w:t>
            </w:r>
          </w:p>
        </w:tc>
        <w:tc>
          <w:tcPr>
            <w:tcW w:w="1015" w:type="pct"/>
            <w:noWrap w:val="0"/>
            <w:vAlign w:val="top"/>
          </w:tcPr>
          <w:p>
            <w:pPr>
              <w:wordWrap/>
              <w:topLinePunct w:val="0"/>
              <w:bidi w:val="0"/>
              <w:spacing w:line="500" w:lineRule="exact"/>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4</w:t>
            </w:r>
            <w:r>
              <w:rPr>
                <w:rFonts w:hint="eastAsia" w:ascii="宋体" w:hAnsi="宋体" w:eastAsia="宋体" w:cs="宋体"/>
                <w:sz w:val="21"/>
                <w:szCs w:val="21"/>
                <w:lang w:val="en-US" w:eastAsia="zh-CN"/>
              </w:rPr>
              <w:t>～</w:t>
            </w:r>
            <w:r>
              <w:rPr>
                <w:rFonts w:hint="eastAsia" w:ascii="宋体" w:hAnsi="宋体" w:eastAsia="宋体" w:cs="宋体"/>
                <w:color w:val="auto"/>
                <w:sz w:val="21"/>
                <w:szCs w:val="21"/>
                <w:lang w:val="en-US" w:eastAsia="zh-CN"/>
              </w:rPr>
              <w:t>11m</w:t>
            </w:r>
          </w:p>
        </w:tc>
        <w:tc>
          <w:tcPr>
            <w:tcW w:w="1015" w:type="pct"/>
            <w:noWrap w:val="0"/>
            <w:vAlign w:val="top"/>
          </w:tcPr>
          <w:p>
            <w:pPr>
              <w:wordWrap/>
              <w:topLinePunct w:val="0"/>
              <w:bidi w:val="0"/>
              <w:spacing w:line="500" w:lineRule="exact"/>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5</w:t>
            </w:r>
            <w:r>
              <w:rPr>
                <w:rFonts w:hint="eastAsia" w:ascii="宋体" w:hAnsi="宋体" w:eastAsia="宋体" w:cs="宋体"/>
                <w:sz w:val="21"/>
                <w:szCs w:val="21"/>
                <w:lang w:val="en-US" w:eastAsia="zh-CN"/>
              </w:rPr>
              <w:t>～</w:t>
            </w:r>
            <w:r>
              <w:rPr>
                <w:rFonts w:hint="eastAsia" w:ascii="宋体" w:hAnsi="宋体" w:eastAsia="宋体" w:cs="宋体"/>
                <w:color w:val="auto"/>
                <w:sz w:val="21"/>
                <w:szCs w:val="21"/>
                <w:lang w:val="en-US" w:eastAsia="zh-CN"/>
              </w:rPr>
              <w:t>7m</w:t>
            </w:r>
          </w:p>
        </w:tc>
        <w:tc>
          <w:tcPr>
            <w:tcW w:w="1218" w:type="pct"/>
            <w:noWrap w:val="0"/>
            <w:vAlign w:val="top"/>
          </w:tcPr>
          <w:p>
            <w:pPr>
              <w:wordWrap/>
              <w:topLinePunct w:val="0"/>
              <w:bidi w:val="0"/>
              <w:spacing w:line="500" w:lineRule="exact"/>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sz w:val="21"/>
                <w:szCs w:val="21"/>
                <w:lang w:val="en-US" w:eastAsia="zh-CN"/>
              </w:rPr>
              <w:t>45</w:t>
            </w:r>
            <w:r>
              <w:rPr>
                <w:rFonts w:hint="eastAsia" w:ascii="宋体" w:hAnsi="宋体" w:eastAsia="宋体" w:cs="宋体"/>
                <w:sz w:val="21"/>
                <w:szCs w:val="21"/>
                <w:lang w:val="en-US" w:eastAsia="zh-CN"/>
              </w:rPr>
              <w:t>～</w:t>
            </w:r>
            <w:r>
              <w:rPr>
                <w:rFonts w:hint="eastAsia" w:ascii="宋体" w:hAnsi="宋体" w:eastAsia="宋体" w:cs="宋体"/>
                <w:color w:val="auto"/>
                <w:sz w:val="21"/>
                <w:szCs w:val="21"/>
                <w:lang w:val="en-US" w:eastAsia="zh-CN"/>
              </w:rPr>
              <w:t>55°</w:t>
            </w:r>
          </w:p>
        </w:tc>
        <w:tc>
          <w:tcPr>
            <w:tcW w:w="1112"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67m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38" w:type="pct"/>
            <w:noWrap w:val="0"/>
            <w:vAlign w:val="top"/>
          </w:tcPr>
          <w:p>
            <w:pPr>
              <w:wordWrap/>
              <w:topLinePunct w:val="0"/>
              <w:bidi w:val="0"/>
              <w:spacing w:line="500" w:lineRule="exact"/>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sz w:val="21"/>
                <w:szCs w:val="21"/>
                <w:lang w:val="en-US" w:eastAsia="zh-CN"/>
              </w:rPr>
              <w:t>1867</w:t>
            </w:r>
            <w:r>
              <w:rPr>
                <w:rFonts w:hint="eastAsia" w:ascii="宋体" w:hAnsi="宋体" w:eastAsia="宋体" w:cs="宋体"/>
                <w:color w:val="auto"/>
                <w:sz w:val="21"/>
                <w:szCs w:val="21"/>
                <w:lang w:val="en-US" w:eastAsia="zh-CN"/>
              </w:rPr>
              <w:t>m</w:t>
            </w:r>
          </w:p>
        </w:tc>
        <w:tc>
          <w:tcPr>
            <w:tcW w:w="1015" w:type="pct"/>
            <w:noWrap w:val="0"/>
            <w:vAlign w:val="top"/>
          </w:tcPr>
          <w:p>
            <w:pPr>
              <w:wordWrap/>
              <w:topLinePunct w:val="0"/>
              <w:bidi w:val="0"/>
              <w:spacing w:line="500" w:lineRule="exact"/>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9m</w:t>
            </w:r>
          </w:p>
        </w:tc>
        <w:tc>
          <w:tcPr>
            <w:tcW w:w="1015" w:type="pct"/>
            <w:noWrap w:val="0"/>
            <w:vAlign w:val="top"/>
          </w:tcPr>
          <w:p>
            <w:pPr>
              <w:wordWrap/>
              <w:topLinePunct w:val="0"/>
              <w:bidi w:val="0"/>
              <w:spacing w:line="500" w:lineRule="exact"/>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4</w:t>
            </w:r>
            <w:r>
              <w:rPr>
                <w:rFonts w:hint="eastAsia" w:ascii="宋体" w:hAnsi="宋体" w:eastAsia="宋体" w:cs="宋体"/>
                <w:sz w:val="21"/>
                <w:szCs w:val="21"/>
                <w:lang w:val="en-US" w:eastAsia="zh-CN"/>
              </w:rPr>
              <w:t>～</w:t>
            </w:r>
            <w:r>
              <w:rPr>
                <w:rFonts w:hint="eastAsia" w:ascii="宋体" w:hAnsi="宋体" w:eastAsia="宋体" w:cs="宋体"/>
                <w:color w:val="auto"/>
                <w:kern w:val="2"/>
                <w:sz w:val="21"/>
                <w:szCs w:val="21"/>
                <w:lang w:val="en-US" w:eastAsia="zh-CN" w:bidi="ar-SA"/>
              </w:rPr>
              <w:t>6m</w:t>
            </w:r>
          </w:p>
        </w:tc>
        <w:tc>
          <w:tcPr>
            <w:tcW w:w="1218" w:type="pct"/>
            <w:noWrap w:val="0"/>
            <w:vAlign w:val="top"/>
          </w:tcPr>
          <w:p>
            <w:pPr>
              <w:wordWrap/>
              <w:topLinePunct w:val="0"/>
              <w:bidi w:val="0"/>
              <w:spacing w:line="500" w:lineRule="exact"/>
              <w:jc w:val="center"/>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lang w:val="en-US" w:eastAsia="zh-CN" w:bidi="ar-SA"/>
              </w:rPr>
              <w:t>46</w:t>
            </w:r>
            <w:r>
              <w:rPr>
                <w:rFonts w:hint="eastAsia" w:ascii="宋体" w:hAnsi="宋体" w:eastAsia="宋体" w:cs="宋体"/>
                <w:sz w:val="21"/>
                <w:szCs w:val="21"/>
                <w:lang w:val="en-US" w:eastAsia="zh-CN"/>
              </w:rPr>
              <w:t>～</w:t>
            </w:r>
            <w:r>
              <w:rPr>
                <w:rFonts w:hint="eastAsia" w:ascii="宋体" w:hAnsi="宋体" w:eastAsia="宋体" w:cs="宋体"/>
                <w:color w:val="auto"/>
                <w:kern w:val="2"/>
                <w:sz w:val="21"/>
                <w:szCs w:val="21"/>
                <w:lang w:val="en-US" w:eastAsia="zh-CN" w:bidi="ar-SA"/>
              </w:rPr>
              <w:t>55°</w:t>
            </w:r>
          </w:p>
        </w:tc>
        <w:tc>
          <w:tcPr>
            <w:tcW w:w="1112"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85m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38"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z w:val="21"/>
                <w:szCs w:val="21"/>
                <w:lang w:val="en-US" w:eastAsia="zh-CN"/>
              </w:rPr>
              <w:t>1858m</w:t>
            </w:r>
          </w:p>
        </w:tc>
        <w:tc>
          <w:tcPr>
            <w:tcW w:w="1015"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9m</w:t>
            </w:r>
          </w:p>
        </w:tc>
        <w:tc>
          <w:tcPr>
            <w:tcW w:w="1015"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4</w:t>
            </w:r>
            <w:r>
              <w:rPr>
                <w:rFonts w:hint="eastAsia" w:ascii="宋体" w:hAnsi="宋体" w:eastAsia="宋体" w:cs="宋体"/>
                <w:sz w:val="21"/>
                <w:szCs w:val="21"/>
                <w:lang w:val="en-US" w:eastAsia="zh-CN"/>
              </w:rPr>
              <w:t>～</w:t>
            </w:r>
            <w:r>
              <w:rPr>
                <w:rFonts w:hint="eastAsia" w:ascii="宋体" w:hAnsi="宋体" w:eastAsia="宋体" w:cs="宋体"/>
                <w:snapToGrid w:val="0"/>
                <w:color w:val="auto"/>
                <w:kern w:val="2"/>
                <w:sz w:val="21"/>
                <w:szCs w:val="21"/>
                <w:lang w:val="en-US" w:eastAsia="zh-CN" w:bidi="ar-SA"/>
              </w:rPr>
              <w:t>6m</w:t>
            </w:r>
          </w:p>
        </w:tc>
        <w:tc>
          <w:tcPr>
            <w:tcW w:w="1218"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40</w:t>
            </w:r>
            <w:r>
              <w:rPr>
                <w:rFonts w:hint="eastAsia" w:ascii="宋体" w:hAnsi="宋体" w:eastAsia="宋体" w:cs="宋体"/>
                <w:sz w:val="21"/>
                <w:szCs w:val="21"/>
                <w:lang w:val="en-US" w:eastAsia="zh-CN"/>
              </w:rPr>
              <w:t>～</w:t>
            </w:r>
            <w:r>
              <w:rPr>
                <w:rFonts w:hint="eastAsia" w:ascii="宋体" w:hAnsi="宋体" w:eastAsia="宋体" w:cs="宋体"/>
                <w:snapToGrid w:val="0"/>
                <w:color w:val="auto"/>
                <w:kern w:val="2"/>
                <w:sz w:val="21"/>
                <w:szCs w:val="21"/>
                <w:lang w:val="en-US" w:eastAsia="zh-CN" w:bidi="ar-SA"/>
              </w:rPr>
              <w:t>55°</w:t>
            </w:r>
          </w:p>
        </w:tc>
        <w:tc>
          <w:tcPr>
            <w:tcW w:w="1112" w:type="pct"/>
            <w:noWrap w:val="0"/>
            <w:vAlign w:val="top"/>
          </w:tcPr>
          <w:p>
            <w:pPr>
              <w:wordWrap/>
              <w:topLinePunct w:val="0"/>
              <w:bidi w:val="0"/>
              <w:spacing w:line="500" w:lineRule="exact"/>
              <w:jc w:val="center"/>
              <w:textAlignment w:val="auto"/>
              <w:rPr>
                <w:rFonts w:hint="default"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60m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5000" w:type="pct"/>
            <w:gridSpan w:val="5"/>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东北侧采场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38"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sz w:val="21"/>
                <w:szCs w:val="21"/>
                <w:lang w:val="en-US" w:eastAsia="zh-CN"/>
              </w:rPr>
            </w:pPr>
            <w:r>
              <w:rPr>
                <w:rFonts w:hint="eastAsia" w:ascii="宋体" w:hAnsi="宋体" w:eastAsia="宋体" w:cs="宋体"/>
                <w:sz w:val="21"/>
                <w:szCs w:val="21"/>
              </w:rPr>
              <w:t>1</w:t>
            </w:r>
            <w:r>
              <w:rPr>
                <w:rFonts w:hint="eastAsia" w:ascii="宋体" w:hAnsi="宋体" w:eastAsia="宋体" w:cs="宋体"/>
                <w:sz w:val="21"/>
                <w:szCs w:val="21"/>
                <w:lang w:val="en-US" w:eastAsia="zh-CN"/>
              </w:rPr>
              <w:t>880</w:t>
            </w:r>
            <w:r>
              <w:rPr>
                <w:rFonts w:hint="eastAsia" w:ascii="宋体" w:hAnsi="宋体" w:eastAsia="宋体" w:cs="宋体"/>
                <w:snapToGrid w:val="0"/>
                <w:color w:val="auto"/>
                <w:sz w:val="21"/>
                <w:szCs w:val="21"/>
                <w:lang w:val="en-US" w:eastAsia="zh-CN"/>
              </w:rPr>
              <w:t>m</w:t>
            </w:r>
          </w:p>
        </w:tc>
        <w:tc>
          <w:tcPr>
            <w:tcW w:w="1015"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3</w:t>
            </w:r>
            <w:r>
              <w:rPr>
                <w:rFonts w:hint="eastAsia" w:ascii="宋体" w:hAnsi="宋体" w:eastAsia="宋体" w:cs="宋体"/>
                <w:sz w:val="21"/>
                <w:szCs w:val="21"/>
                <w:lang w:val="en-US" w:eastAsia="zh-CN"/>
              </w:rPr>
              <w:t>～</w:t>
            </w:r>
            <w:r>
              <w:rPr>
                <w:rFonts w:hint="eastAsia" w:ascii="宋体" w:hAnsi="宋体" w:eastAsia="宋体" w:cs="宋体"/>
                <w:snapToGrid w:val="0"/>
                <w:color w:val="auto"/>
                <w:kern w:val="2"/>
                <w:sz w:val="21"/>
                <w:szCs w:val="21"/>
                <w:lang w:val="en-US" w:eastAsia="zh-CN" w:bidi="ar-SA"/>
              </w:rPr>
              <w:t>10m</w:t>
            </w:r>
          </w:p>
        </w:tc>
        <w:tc>
          <w:tcPr>
            <w:tcW w:w="1015"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3</w:t>
            </w:r>
            <w:r>
              <w:rPr>
                <w:rFonts w:hint="eastAsia" w:ascii="宋体" w:hAnsi="宋体" w:eastAsia="宋体" w:cs="宋体"/>
                <w:sz w:val="21"/>
                <w:szCs w:val="21"/>
                <w:lang w:val="en-US" w:eastAsia="zh-CN"/>
              </w:rPr>
              <w:t>～</w:t>
            </w:r>
            <w:r>
              <w:rPr>
                <w:rFonts w:hint="eastAsia" w:ascii="宋体" w:hAnsi="宋体" w:eastAsia="宋体" w:cs="宋体"/>
                <w:snapToGrid w:val="0"/>
                <w:color w:val="auto"/>
                <w:kern w:val="2"/>
                <w:sz w:val="21"/>
                <w:szCs w:val="21"/>
                <w:lang w:val="en-US" w:eastAsia="zh-CN" w:bidi="ar-SA"/>
              </w:rPr>
              <w:t>6m</w:t>
            </w:r>
          </w:p>
        </w:tc>
        <w:tc>
          <w:tcPr>
            <w:tcW w:w="1218"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45</w:t>
            </w:r>
            <w:r>
              <w:rPr>
                <w:rFonts w:hint="eastAsia" w:ascii="宋体" w:hAnsi="宋体" w:eastAsia="宋体" w:cs="宋体"/>
                <w:sz w:val="21"/>
                <w:szCs w:val="21"/>
                <w:lang w:val="en-US" w:eastAsia="zh-CN"/>
              </w:rPr>
              <w:t>～</w:t>
            </w:r>
            <w:r>
              <w:rPr>
                <w:rFonts w:hint="eastAsia" w:ascii="宋体" w:hAnsi="宋体" w:eastAsia="宋体" w:cs="宋体"/>
                <w:snapToGrid w:val="0"/>
                <w:color w:val="auto"/>
                <w:kern w:val="2"/>
                <w:sz w:val="21"/>
                <w:szCs w:val="21"/>
                <w:lang w:val="en-US" w:eastAsia="zh-CN" w:bidi="ar-SA"/>
              </w:rPr>
              <w:t>55°</w:t>
            </w:r>
          </w:p>
        </w:tc>
        <w:tc>
          <w:tcPr>
            <w:tcW w:w="1112"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140m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38"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sz w:val="21"/>
                <w:szCs w:val="21"/>
                <w:lang w:val="en-US" w:eastAsia="zh-CN"/>
              </w:rPr>
            </w:pPr>
            <w:r>
              <w:rPr>
                <w:rFonts w:hint="eastAsia" w:ascii="宋体" w:hAnsi="宋体" w:eastAsia="宋体" w:cs="宋体"/>
                <w:sz w:val="21"/>
                <w:szCs w:val="21"/>
              </w:rPr>
              <w:t>1</w:t>
            </w:r>
            <w:r>
              <w:rPr>
                <w:rFonts w:hint="eastAsia" w:ascii="宋体" w:hAnsi="宋体" w:eastAsia="宋体" w:cs="宋体"/>
                <w:sz w:val="21"/>
                <w:szCs w:val="21"/>
                <w:lang w:val="en-US" w:eastAsia="zh-CN"/>
              </w:rPr>
              <w:t>874</w:t>
            </w:r>
            <w:r>
              <w:rPr>
                <w:rFonts w:hint="eastAsia" w:ascii="宋体" w:hAnsi="宋体" w:eastAsia="宋体" w:cs="宋体"/>
                <w:snapToGrid w:val="0"/>
                <w:color w:val="auto"/>
                <w:sz w:val="21"/>
                <w:szCs w:val="21"/>
                <w:lang w:val="en-US" w:eastAsia="zh-CN"/>
              </w:rPr>
              <w:t>m</w:t>
            </w:r>
          </w:p>
        </w:tc>
        <w:tc>
          <w:tcPr>
            <w:tcW w:w="1015"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2</w:t>
            </w:r>
            <w:r>
              <w:rPr>
                <w:rFonts w:hint="eastAsia" w:ascii="宋体" w:hAnsi="宋体" w:eastAsia="宋体" w:cs="宋体"/>
                <w:sz w:val="21"/>
                <w:szCs w:val="21"/>
                <w:lang w:val="en-US" w:eastAsia="zh-CN"/>
              </w:rPr>
              <w:t>～</w:t>
            </w:r>
            <w:r>
              <w:rPr>
                <w:rFonts w:hint="eastAsia" w:ascii="宋体" w:hAnsi="宋体" w:eastAsia="宋体" w:cs="宋体"/>
                <w:snapToGrid w:val="0"/>
                <w:color w:val="auto"/>
                <w:kern w:val="2"/>
                <w:sz w:val="21"/>
                <w:szCs w:val="21"/>
                <w:lang w:val="en-US" w:eastAsia="zh-CN" w:bidi="ar-SA"/>
              </w:rPr>
              <w:t>3m</w:t>
            </w:r>
          </w:p>
        </w:tc>
        <w:tc>
          <w:tcPr>
            <w:tcW w:w="1015"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3</w:t>
            </w:r>
            <w:r>
              <w:rPr>
                <w:rFonts w:hint="eastAsia" w:ascii="宋体" w:hAnsi="宋体" w:eastAsia="宋体" w:cs="宋体"/>
                <w:sz w:val="21"/>
                <w:szCs w:val="21"/>
                <w:lang w:val="en-US" w:eastAsia="zh-CN"/>
              </w:rPr>
              <w:t>～</w:t>
            </w:r>
            <w:r>
              <w:rPr>
                <w:rFonts w:hint="eastAsia" w:ascii="宋体" w:hAnsi="宋体" w:eastAsia="宋体" w:cs="宋体"/>
                <w:snapToGrid w:val="0"/>
                <w:color w:val="auto"/>
                <w:kern w:val="2"/>
                <w:sz w:val="21"/>
                <w:szCs w:val="21"/>
                <w:lang w:val="en-US" w:eastAsia="zh-CN" w:bidi="ar-SA"/>
              </w:rPr>
              <w:t>5m</w:t>
            </w:r>
          </w:p>
        </w:tc>
        <w:tc>
          <w:tcPr>
            <w:tcW w:w="1218"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50</w:t>
            </w:r>
            <w:r>
              <w:rPr>
                <w:rFonts w:hint="eastAsia" w:ascii="宋体" w:hAnsi="宋体" w:eastAsia="宋体" w:cs="宋体"/>
                <w:sz w:val="21"/>
                <w:szCs w:val="21"/>
                <w:lang w:val="en-US" w:eastAsia="zh-CN"/>
              </w:rPr>
              <w:t>～</w:t>
            </w:r>
            <w:r>
              <w:rPr>
                <w:rFonts w:hint="eastAsia" w:ascii="宋体" w:hAnsi="宋体" w:eastAsia="宋体" w:cs="宋体"/>
                <w:snapToGrid w:val="0"/>
                <w:color w:val="auto"/>
                <w:kern w:val="2"/>
                <w:sz w:val="21"/>
                <w:szCs w:val="21"/>
                <w:lang w:val="en-US" w:eastAsia="zh-CN" w:bidi="ar-SA"/>
              </w:rPr>
              <w:t>65°</w:t>
            </w:r>
          </w:p>
        </w:tc>
        <w:tc>
          <w:tcPr>
            <w:tcW w:w="1112"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157m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38" w:type="pct"/>
            <w:noWrap w:val="0"/>
            <w:vAlign w:val="top"/>
          </w:tcPr>
          <w:p>
            <w:pPr>
              <w:wordWrap/>
              <w:topLinePunct w:val="0"/>
              <w:bidi w:val="0"/>
              <w:spacing w:line="500" w:lineRule="exact"/>
              <w:jc w:val="center"/>
              <w:textAlignment w:val="auto"/>
              <w:rPr>
                <w:rFonts w:hint="eastAsia" w:ascii="宋体" w:hAnsi="宋体" w:eastAsia="宋体" w:cs="宋体"/>
                <w:sz w:val="21"/>
                <w:szCs w:val="21"/>
                <w:lang w:val="en-US"/>
              </w:rPr>
            </w:pPr>
            <w:r>
              <w:rPr>
                <w:rFonts w:hint="eastAsia" w:ascii="宋体" w:hAnsi="宋体" w:eastAsia="宋体" w:cs="宋体"/>
                <w:sz w:val="21"/>
                <w:szCs w:val="21"/>
              </w:rPr>
              <w:t>1</w:t>
            </w:r>
            <w:r>
              <w:rPr>
                <w:rFonts w:hint="eastAsia" w:ascii="宋体" w:hAnsi="宋体" w:eastAsia="宋体" w:cs="宋体"/>
                <w:sz w:val="21"/>
                <w:szCs w:val="21"/>
                <w:lang w:val="en-US" w:eastAsia="zh-CN"/>
              </w:rPr>
              <w:t>867m</w:t>
            </w:r>
          </w:p>
        </w:tc>
        <w:tc>
          <w:tcPr>
            <w:tcW w:w="1015"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z w:val="21"/>
                <w:szCs w:val="21"/>
                <w:lang w:val="en-US" w:eastAsia="zh-CN"/>
              </w:rPr>
              <w:t>5～8</w:t>
            </w:r>
          </w:p>
        </w:tc>
        <w:tc>
          <w:tcPr>
            <w:tcW w:w="1015"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5m</w:t>
            </w:r>
          </w:p>
        </w:tc>
        <w:tc>
          <w:tcPr>
            <w:tcW w:w="1218"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z w:val="21"/>
                <w:szCs w:val="21"/>
                <w:lang w:val="en-US" w:eastAsia="zh-CN"/>
              </w:rPr>
              <w:t>45～65</w:t>
            </w:r>
            <w:r>
              <w:rPr>
                <w:rFonts w:hint="eastAsia" w:ascii="宋体" w:hAnsi="宋体" w:eastAsia="宋体" w:cs="宋体"/>
                <w:sz w:val="21"/>
                <w:szCs w:val="21"/>
                <w:lang w:val="en-GB"/>
              </w:rPr>
              <w:t>°</w:t>
            </w:r>
          </w:p>
        </w:tc>
        <w:tc>
          <w:tcPr>
            <w:tcW w:w="1112"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z w:val="21"/>
                <w:szCs w:val="21"/>
                <w:lang w:val="en-US" w:eastAsia="zh-CN"/>
              </w:rPr>
              <w:t>78m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38" w:type="pct"/>
            <w:noWrap w:val="0"/>
            <w:vAlign w:val="top"/>
          </w:tcPr>
          <w:p>
            <w:pPr>
              <w:wordWrap/>
              <w:topLinePunct w:val="0"/>
              <w:bidi w:val="0"/>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860</w:t>
            </w:r>
            <w:r>
              <w:rPr>
                <w:rFonts w:hint="eastAsia" w:ascii="宋体" w:hAnsi="宋体" w:eastAsia="宋体" w:cs="宋体"/>
                <w:sz w:val="21"/>
                <w:szCs w:val="21"/>
                <w:lang w:val="en-GB"/>
              </w:rPr>
              <w:t>m</w:t>
            </w:r>
          </w:p>
        </w:tc>
        <w:tc>
          <w:tcPr>
            <w:tcW w:w="1015"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z w:val="21"/>
                <w:szCs w:val="21"/>
                <w:lang w:val="en-US" w:eastAsia="zh-CN"/>
              </w:rPr>
              <w:t>6～8m</w:t>
            </w:r>
          </w:p>
        </w:tc>
        <w:tc>
          <w:tcPr>
            <w:tcW w:w="1015"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z w:val="21"/>
                <w:szCs w:val="21"/>
                <w:lang w:val="en-US" w:eastAsia="zh-CN"/>
              </w:rPr>
              <w:t>6</w:t>
            </w:r>
            <w:r>
              <w:rPr>
                <w:rFonts w:hint="eastAsia" w:ascii="宋体" w:hAnsi="宋体" w:eastAsia="宋体" w:cs="宋体"/>
                <w:sz w:val="21"/>
                <w:szCs w:val="21"/>
                <w:lang w:val="en-GB"/>
              </w:rPr>
              <w:t>m</w:t>
            </w:r>
          </w:p>
        </w:tc>
        <w:tc>
          <w:tcPr>
            <w:tcW w:w="1218"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z w:val="21"/>
                <w:szCs w:val="21"/>
                <w:lang w:val="en-US" w:eastAsia="zh-CN"/>
              </w:rPr>
              <w:t>40～63</w:t>
            </w:r>
            <w:r>
              <w:rPr>
                <w:rFonts w:hint="eastAsia" w:ascii="宋体" w:hAnsi="宋体" w:eastAsia="宋体" w:cs="宋体"/>
                <w:sz w:val="21"/>
                <w:szCs w:val="21"/>
                <w:lang w:val="en-GB"/>
              </w:rPr>
              <w:t>°</w:t>
            </w:r>
          </w:p>
        </w:tc>
        <w:tc>
          <w:tcPr>
            <w:tcW w:w="1112"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z w:val="21"/>
                <w:szCs w:val="21"/>
                <w:lang w:val="en-US" w:eastAsia="zh-CN"/>
              </w:rPr>
              <w:t>74</w:t>
            </w:r>
            <w:r>
              <w:rPr>
                <w:rFonts w:hint="eastAsia" w:ascii="宋体" w:hAnsi="宋体" w:eastAsia="宋体" w:cs="宋体"/>
                <w:sz w:val="21"/>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38" w:type="pct"/>
            <w:noWrap w:val="0"/>
            <w:vAlign w:val="top"/>
          </w:tcPr>
          <w:p>
            <w:pPr>
              <w:wordWrap/>
              <w:topLinePunct w:val="0"/>
              <w:bidi w:val="0"/>
              <w:spacing w:line="5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852</w:t>
            </w:r>
            <w:r>
              <w:rPr>
                <w:rFonts w:hint="eastAsia" w:ascii="宋体" w:hAnsi="宋体" w:eastAsia="宋体" w:cs="宋体"/>
                <w:sz w:val="21"/>
                <w:szCs w:val="21"/>
                <w:lang w:val="en-GB"/>
              </w:rPr>
              <w:t>m</w:t>
            </w:r>
          </w:p>
        </w:tc>
        <w:tc>
          <w:tcPr>
            <w:tcW w:w="1015"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z w:val="21"/>
                <w:szCs w:val="21"/>
                <w:lang w:val="en-US" w:eastAsia="zh-CN"/>
              </w:rPr>
              <w:t>8m</w:t>
            </w:r>
          </w:p>
        </w:tc>
        <w:tc>
          <w:tcPr>
            <w:tcW w:w="1015" w:type="pct"/>
            <w:noWrap w:val="0"/>
            <w:vAlign w:val="top"/>
          </w:tcPr>
          <w:p>
            <w:pPr>
              <w:wordWrap/>
              <w:topLinePunct w:val="0"/>
              <w:bidi w:val="0"/>
              <w:spacing w:line="500" w:lineRule="exact"/>
              <w:jc w:val="center"/>
              <w:textAlignment w:val="auto"/>
              <w:rPr>
                <w:rFonts w:hint="default"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6m</w:t>
            </w:r>
          </w:p>
        </w:tc>
        <w:tc>
          <w:tcPr>
            <w:tcW w:w="1218" w:type="pct"/>
            <w:noWrap w:val="0"/>
            <w:vAlign w:val="top"/>
          </w:tcPr>
          <w:p>
            <w:pPr>
              <w:wordWrap/>
              <w:topLinePunct w:val="0"/>
              <w:bidi w:val="0"/>
              <w:spacing w:line="500" w:lineRule="exact"/>
              <w:jc w:val="center"/>
              <w:textAlignment w:val="auto"/>
              <w:rPr>
                <w:rFonts w:hint="eastAsia" w:ascii="宋体" w:hAnsi="宋体" w:eastAsia="宋体" w:cs="宋体"/>
                <w:snapToGrid w:val="0"/>
                <w:color w:val="auto"/>
                <w:kern w:val="2"/>
                <w:sz w:val="21"/>
                <w:szCs w:val="21"/>
                <w:lang w:val="en-US" w:eastAsia="zh-CN" w:bidi="ar-SA"/>
              </w:rPr>
            </w:pPr>
            <w:r>
              <w:rPr>
                <w:rFonts w:hint="eastAsia" w:ascii="宋体" w:hAnsi="宋体" w:eastAsia="宋体" w:cs="宋体"/>
                <w:sz w:val="21"/>
                <w:szCs w:val="21"/>
                <w:lang w:val="en-US" w:eastAsia="zh-CN"/>
              </w:rPr>
              <w:t>55～65</w:t>
            </w:r>
            <w:r>
              <w:rPr>
                <w:rFonts w:hint="eastAsia" w:ascii="宋体" w:hAnsi="宋体" w:eastAsia="宋体" w:cs="宋体"/>
                <w:sz w:val="21"/>
                <w:szCs w:val="21"/>
                <w:lang w:val="en-GB"/>
              </w:rPr>
              <w:t>°</w:t>
            </w:r>
          </w:p>
        </w:tc>
        <w:tc>
          <w:tcPr>
            <w:tcW w:w="1112" w:type="pct"/>
            <w:noWrap w:val="0"/>
            <w:vAlign w:val="top"/>
          </w:tcPr>
          <w:p>
            <w:pPr>
              <w:wordWrap/>
              <w:topLinePunct w:val="0"/>
              <w:bidi w:val="0"/>
              <w:spacing w:line="500" w:lineRule="exact"/>
              <w:jc w:val="center"/>
              <w:textAlignment w:val="auto"/>
              <w:rPr>
                <w:rFonts w:hint="default" w:ascii="宋体" w:hAnsi="宋体" w:eastAsia="宋体" w:cs="宋体"/>
                <w:snapToGrid w:val="0"/>
                <w:color w:val="auto"/>
                <w:kern w:val="2"/>
                <w:sz w:val="21"/>
                <w:szCs w:val="21"/>
                <w:lang w:val="en-US" w:eastAsia="zh-CN" w:bidi="ar-SA"/>
              </w:rPr>
            </w:pPr>
            <w:r>
              <w:rPr>
                <w:rFonts w:hint="eastAsia" w:ascii="宋体" w:hAnsi="宋体" w:eastAsia="宋体" w:cs="宋体"/>
                <w:snapToGrid w:val="0"/>
                <w:color w:val="auto"/>
                <w:kern w:val="2"/>
                <w:sz w:val="21"/>
                <w:szCs w:val="21"/>
                <w:lang w:val="en-US" w:eastAsia="zh-CN" w:bidi="ar-SA"/>
              </w:rPr>
              <w:t>74m</w:t>
            </w:r>
          </w:p>
        </w:tc>
      </w:tr>
    </w:tbl>
    <w:p>
      <w:pPr>
        <w:wordWrap/>
        <w:topLinePunct w:val="0"/>
        <w:bidi w:val="0"/>
        <w:spacing w:line="500" w:lineRule="exact"/>
        <w:ind w:firstLine="561"/>
        <w:textAlignment w:val="auto"/>
        <w:rPr>
          <w:rFonts w:hint="eastAsia" w:ascii="宋体" w:hAnsi="宋体"/>
          <w:color w:val="auto"/>
        </w:rPr>
      </w:pPr>
      <w:r>
        <w:rPr>
          <w:rFonts w:hint="eastAsia" w:ascii="宋体" w:hAnsi="宋体" w:eastAsia="宋体" w:cs="宋体"/>
          <w:color w:val="auto"/>
          <w:kern w:val="0"/>
          <w:sz w:val="28"/>
          <w:szCs w:val="28"/>
          <w:lang w:val="zh-CN"/>
        </w:rPr>
        <w:t>综上所述，</w:t>
      </w:r>
      <w:r>
        <w:rPr>
          <w:rFonts w:hint="eastAsia" w:ascii="宋体" w:hAnsi="宋体" w:eastAsia="宋体" w:cs="宋体"/>
          <w:color w:val="auto"/>
          <w:kern w:val="0"/>
          <w:sz w:val="28"/>
          <w:szCs w:val="28"/>
          <w:lang w:val="en-US" w:eastAsia="zh-CN"/>
        </w:rPr>
        <w:t>部分平台台阶高度偏高，</w:t>
      </w:r>
      <w:r>
        <w:rPr>
          <w:rFonts w:hint="eastAsia" w:ascii="宋体" w:hAnsi="宋体" w:eastAsia="宋体" w:cs="宋体"/>
          <w:color w:val="auto"/>
          <w:kern w:val="0"/>
          <w:sz w:val="28"/>
          <w:szCs w:val="28"/>
          <w:lang w:val="zh-CN"/>
        </w:rPr>
        <w:t>露天采场总体符合设计要求。</w:t>
      </w:r>
    </w:p>
    <w:p>
      <w:pPr>
        <w:pStyle w:val="6"/>
        <w:bidi w:val="0"/>
        <w:rPr>
          <w:rFonts w:hint="eastAsia"/>
        </w:rPr>
      </w:pPr>
      <w:bookmarkStart w:id="423" w:name="_Toc9630"/>
      <w:bookmarkStart w:id="424" w:name="_Toc8641"/>
      <w:bookmarkStart w:id="425" w:name="_Toc102829729"/>
      <w:r>
        <w:rPr>
          <w:rFonts w:hint="eastAsia"/>
        </w:rPr>
        <w:t>4.4.1.</w:t>
      </w:r>
      <w:r>
        <w:rPr>
          <w:rFonts w:hint="eastAsia"/>
          <w:lang w:val="en-US" w:eastAsia="zh-CN"/>
        </w:rPr>
        <w:t>3</w:t>
      </w:r>
      <w:r>
        <w:rPr>
          <w:rFonts w:hint="eastAsia"/>
        </w:rPr>
        <w:t>单元存在问题及对策措施</w:t>
      </w:r>
      <w:bookmarkEnd w:id="423"/>
      <w:bookmarkEnd w:id="424"/>
      <w:bookmarkEnd w:id="425"/>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zh-CN"/>
        </w:rPr>
      </w:pPr>
      <w:r>
        <w:rPr>
          <w:rFonts w:hint="eastAsia" w:ascii="宋体" w:hAnsi="宋体" w:eastAsia="宋体" w:cs="宋体"/>
          <w:color w:val="auto"/>
          <w:kern w:val="0"/>
          <w:sz w:val="28"/>
          <w:szCs w:val="28"/>
          <w:lang w:val="zh-CN"/>
        </w:rPr>
        <w:t>存在问题：</w:t>
      </w:r>
      <w:r>
        <w:rPr>
          <w:rFonts w:hint="eastAsia" w:ascii="宋体" w:hAnsi="宋体" w:eastAsia="宋体" w:cs="宋体"/>
          <w:color w:val="auto"/>
          <w:kern w:val="0"/>
          <w:sz w:val="28"/>
          <w:szCs w:val="28"/>
          <w:lang w:val="en-US" w:eastAsia="zh-CN"/>
        </w:rPr>
        <w:t>部分台阶</w:t>
      </w:r>
      <w:r>
        <w:rPr>
          <w:rFonts w:hint="eastAsia" w:ascii="宋体" w:hAnsi="宋体" w:cs="宋体"/>
          <w:color w:val="auto"/>
          <w:kern w:val="0"/>
          <w:sz w:val="28"/>
          <w:szCs w:val="28"/>
          <w:lang w:val="en-US" w:eastAsia="zh-CN"/>
        </w:rPr>
        <w:t>高度大于7m。</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zh-CN"/>
        </w:rPr>
      </w:pPr>
      <w:r>
        <w:rPr>
          <w:rFonts w:hint="eastAsia" w:ascii="宋体" w:hAnsi="宋体" w:eastAsia="宋体" w:cs="宋体"/>
          <w:color w:val="auto"/>
          <w:kern w:val="0"/>
          <w:sz w:val="28"/>
          <w:szCs w:val="28"/>
          <w:lang w:val="zh-CN"/>
        </w:rPr>
        <w:t>对策措施：</w:t>
      </w:r>
      <w:r>
        <w:rPr>
          <w:rFonts w:hint="eastAsia" w:ascii="宋体" w:hAnsi="宋体" w:cs="宋体"/>
          <w:color w:val="auto"/>
          <w:kern w:val="0"/>
          <w:sz w:val="28"/>
          <w:szCs w:val="28"/>
          <w:lang w:val="en-US" w:eastAsia="zh-CN"/>
        </w:rPr>
        <w:t>严格按《安全设施设计》进行开采，台阶高度控制在7m，台阶坡面角控制在55</w:t>
      </w:r>
      <w:r>
        <w:rPr>
          <w:rFonts w:hint="eastAsia" w:ascii="宋体" w:hAnsi="宋体" w:eastAsia="宋体" w:cs="宋体"/>
          <w:snapToGrid w:val="0"/>
          <w:color w:val="auto"/>
          <w:kern w:val="2"/>
          <w:sz w:val="28"/>
          <w:szCs w:val="28"/>
          <w:lang w:val="en-US" w:eastAsia="zh-CN" w:bidi="ar-SA"/>
        </w:rPr>
        <w:t>°</w:t>
      </w:r>
      <w:r>
        <w:rPr>
          <w:rFonts w:hint="eastAsia" w:ascii="宋体" w:hAnsi="宋体" w:eastAsia="宋体" w:cs="宋体"/>
          <w:color w:val="auto"/>
          <w:kern w:val="0"/>
          <w:sz w:val="28"/>
          <w:szCs w:val="28"/>
          <w:lang w:val="zh-CN"/>
        </w:rPr>
        <w:t>。</w:t>
      </w:r>
    </w:p>
    <w:p>
      <w:pPr>
        <w:pStyle w:val="47"/>
        <w:bidi w:val="0"/>
        <w:rPr>
          <w:rFonts w:hint="eastAsia" w:ascii="宋体" w:hAnsi="宋体" w:eastAsia="宋体"/>
          <w:bCs/>
          <w:color w:val="auto"/>
        </w:rPr>
      </w:pPr>
      <w:bookmarkStart w:id="426" w:name="_Toc17865"/>
      <w:bookmarkStart w:id="427" w:name="_Toc21035"/>
      <w:bookmarkStart w:id="428" w:name="_Toc102829731"/>
      <w:r>
        <w:rPr>
          <w:rFonts w:hint="eastAsia"/>
        </w:rPr>
        <w:t>4.4.1.</w:t>
      </w:r>
      <w:r>
        <w:rPr>
          <w:rFonts w:hint="eastAsia"/>
          <w:lang w:val="en-US" w:eastAsia="zh-CN"/>
        </w:rPr>
        <w:t>4</w:t>
      </w:r>
      <w:r>
        <w:rPr>
          <w:rFonts w:hint="eastAsia"/>
        </w:rPr>
        <w:t>单元小结</w:t>
      </w:r>
      <w:bookmarkEnd w:id="426"/>
      <w:bookmarkEnd w:id="427"/>
      <w:bookmarkEnd w:id="428"/>
    </w:p>
    <w:p>
      <w:pPr>
        <w:wordWrap/>
        <w:topLinePunct w:val="0"/>
        <w:bidi w:val="0"/>
        <w:spacing w:line="500" w:lineRule="exact"/>
        <w:ind w:firstLine="561"/>
        <w:textAlignment w:val="auto"/>
        <w:rPr>
          <w:rFonts w:hint="eastAsia" w:ascii="宋体" w:hAnsi="宋体" w:eastAsia="宋体" w:cs="宋体"/>
          <w:color w:val="auto"/>
          <w:kern w:val="0"/>
          <w:sz w:val="28"/>
          <w:szCs w:val="28"/>
          <w:lang w:val="zh-CN"/>
        </w:rPr>
      </w:pPr>
      <w:bookmarkStart w:id="429" w:name="_Toc452553184"/>
      <w:r>
        <w:rPr>
          <w:rFonts w:hint="eastAsia" w:ascii="宋体" w:hAnsi="宋体" w:eastAsia="宋体" w:cs="宋体"/>
          <w:color w:val="auto"/>
          <w:kern w:val="0"/>
          <w:sz w:val="28"/>
          <w:szCs w:val="28"/>
          <w:lang w:val="zh-CN"/>
        </w:rPr>
        <w:t>通过对采场单元现场检查，根据《</w:t>
      </w:r>
      <w:r>
        <w:rPr>
          <w:rFonts w:hint="eastAsia" w:ascii="宋体" w:hAnsi="宋体" w:eastAsia="宋体" w:cs="宋体"/>
          <w:color w:val="auto"/>
          <w:kern w:val="0"/>
          <w:sz w:val="28"/>
          <w:szCs w:val="28"/>
          <w:lang w:val="zh-CN" w:eastAsia="zh-CN"/>
        </w:rPr>
        <w:t>安全设施设计</w:t>
      </w:r>
      <w:r>
        <w:rPr>
          <w:rFonts w:hint="eastAsia" w:ascii="宋体" w:hAnsi="宋体" w:eastAsia="宋体" w:cs="宋体"/>
          <w:color w:val="auto"/>
          <w:kern w:val="0"/>
          <w:sz w:val="28"/>
          <w:szCs w:val="28"/>
          <w:lang w:val="zh-CN"/>
        </w:rPr>
        <w:t>》、《金属非金属矿山安全规程》GB16423-2020，开采自上而下分台开采，采场边坡稳定，采场单元能满足安全生产的要求。</w:t>
      </w:r>
    </w:p>
    <w:p>
      <w:pPr>
        <w:pStyle w:val="46"/>
        <w:bidi w:val="0"/>
        <w:rPr>
          <w:rFonts w:hint="eastAsia"/>
        </w:rPr>
      </w:pPr>
      <w:bookmarkStart w:id="430" w:name="_Toc467792801"/>
      <w:bookmarkStart w:id="431" w:name="_Toc502865205"/>
      <w:bookmarkStart w:id="432" w:name="_Toc438635198"/>
      <w:bookmarkStart w:id="433" w:name="_Toc8015"/>
      <w:bookmarkStart w:id="434" w:name="_Toc102829737"/>
      <w:bookmarkStart w:id="435" w:name="_Toc22009"/>
      <w:bookmarkStart w:id="436" w:name="_Toc31675"/>
      <w:r>
        <w:rPr>
          <w:rFonts w:hint="eastAsia"/>
        </w:rPr>
        <w:t>4.4.</w:t>
      </w:r>
      <w:r>
        <w:rPr>
          <w:rFonts w:hint="eastAsia"/>
          <w:lang w:val="en-US" w:eastAsia="zh-CN"/>
        </w:rPr>
        <w:t>2</w:t>
      </w:r>
      <w:r>
        <w:rPr>
          <w:rFonts w:hint="eastAsia"/>
        </w:rPr>
        <w:t>铲装作业子单元</w:t>
      </w:r>
      <w:bookmarkEnd w:id="430"/>
      <w:bookmarkEnd w:id="431"/>
      <w:bookmarkEnd w:id="432"/>
      <w:bookmarkEnd w:id="433"/>
      <w:bookmarkEnd w:id="434"/>
      <w:bookmarkEnd w:id="435"/>
      <w:bookmarkEnd w:id="436"/>
    </w:p>
    <w:p>
      <w:pPr>
        <w:pStyle w:val="47"/>
        <w:bidi w:val="0"/>
        <w:rPr>
          <w:rFonts w:hint="eastAsia" w:ascii="宋体" w:hAnsi="宋体" w:eastAsia="宋体"/>
          <w:bCs/>
          <w:color w:val="auto"/>
        </w:rPr>
      </w:pPr>
      <w:bookmarkStart w:id="437" w:name="_Toc21143"/>
      <w:bookmarkStart w:id="438" w:name="_Toc8207"/>
      <w:bookmarkStart w:id="439" w:name="_Toc102829738"/>
      <w:r>
        <w:rPr>
          <w:rFonts w:hint="eastAsia"/>
        </w:rPr>
        <w:t>4.4.</w:t>
      </w:r>
      <w:r>
        <w:rPr>
          <w:rFonts w:hint="eastAsia"/>
          <w:lang w:val="en-US" w:eastAsia="zh-CN"/>
        </w:rPr>
        <w:t>2</w:t>
      </w:r>
      <w:r>
        <w:rPr>
          <w:rFonts w:hint="eastAsia"/>
        </w:rPr>
        <w:t>.1铲装作业安全检查表</w:t>
      </w:r>
      <w:bookmarkEnd w:id="437"/>
      <w:bookmarkEnd w:id="438"/>
      <w:bookmarkEnd w:id="439"/>
    </w:p>
    <w:p>
      <w:pPr>
        <w:wordWrap/>
        <w:topLinePunct w:val="0"/>
        <w:autoSpaceDE w:val="0"/>
        <w:autoSpaceDN w:val="0"/>
        <w:bidi w:val="0"/>
        <w:spacing w:line="500" w:lineRule="exact"/>
        <w:ind w:firstLine="561"/>
        <w:jc w:val="left"/>
        <w:textAlignment w:val="auto"/>
        <w:rPr>
          <w:rFonts w:hint="eastAsia" w:ascii="宋体" w:hAnsi="宋体" w:eastAsia="宋体" w:cs="宋体"/>
          <w:color w:val="auto"/>
          <w:kern w:val="0"/>
          <w:sz w:val="28"/>
          <w:szCs w:val="28"/>
          <w:lang w:val="zh-CN"/>
        </w:rPr>
      </w:pPr>
      <w:r>
        <w:rPr>
          <w:rFonts w:hint="eastAsia" w:ascii="宋体" w:hAnsi="宋体" w:eastAsia="宋体" w:cs="宋体"/>
          <w:color w:val="auto"/>
          <w:kern w:val="0"/>
          <w:sz w:val="28"/>
          <w:szCs w:val="28"/>
          <w:lang w:val="zh-CN"/>
        </w:rPr>
        <w:t>矿山铲装作业评价单元采用安全检查表法，按评价项目内容，依据《小型露天采石场安全管理与监督检查规定》（国家安全生产监督管理总局令第39号）及《金属非金属矿山安全规程》（GB16423-2020）对相关项目进行检查评价。见表4-7。</w:t>
      </w:r>
    </w:p>
    <w:p>
      <w:pPr>
        <w:wordWrap/>
        <w:topLinePunct w:val="0"/>
        <w:bidi w:val="0"/>
        <w:adjustRightInd w:val="0"/>
        <w:snapToGrid w:val="0"/>
        <w:spacing w:line="500" w:lineRule="exact"/>
        <w:jc w:val="center"/>
        <w:textAlignment w:val="auto"/>
        <w:rPr>
          <w:rFonts w:hint="eastAsia" w:ascii="宋体" w:hAnsi="宋体"/>
          <w:b/>
          <w:bCs/>
          <w:color w:val="auto"/>
          <w:sz w:val="24"/>
        </w:rPr>
      </w:pPr>
      <w:r>
        <w:rPr>
          <w:rFonts w:ascii="宋体" w:hAnsi="宋体"/>
          <w:b/>
          <w:bCs/>
          <w:color w:val="auto"/>
          <w:sz w:val="24"/>
          <w:lang w:eastAsia="zh-TW"/>
        </w:rPr>
        <w:t>表</w:t>
      </w:r>
      <w:r>
        <w:rPr>
          <w:rFonts w:hint="eastAsia" w:ascii="宋体" w:hAnsi="宋体"/>
          <w:b/>
          <w:bCs/>
          <w:color w:val="auto"/>
          <w:sz w:val="24"/>
        </w:rPr>
        <w:t>4</w:t>
      </w:r>
      <w:r>
        <w:rPr>
          <w:rFonts w:ascii="宋体" w:hAnsi="宋体"/>
          <w:b/>
          <w:bCs/>
          <w:color w:val="auto"/>
          <w:sz w:val="24"/>
          <w:lang w:eastAsia="zh-TW"/>
        </w:rPr>
        <w:t>-</w:t>
      </w:r>
      <w:r>
        <w:rPr>
          <w:rFonts w:hint="eastAsia" w:ascii="宋体" w:hAnsi="宋体"/>
          <w:b/>
          <w:bCs/>
          <w:color w:val="auto"/>
          <w:sz w:val="24"/>
        </w:rPr>
        <w:t>7铲装作业</w:t>
      </w:r>
      <w:r>
        <w:rPr>
          <w:rFonts w:ascii="宋体" w:hAnsi="宋体"/>
          <w:b/>
          <w:bCs/>
          <w:color w:val="auto"/>
          <w:sz w:val="24"/>
          <w:lang w:eastAsia="zh-TW"/>
        </w:rPr>
        <w:t>子</w:t>
      </w:r>
      <w:r>
        <w:rPr>
          <w:rFonts w:ascii="宋体" w:hAnsi="宋体"/>
          <w:b/>
          <w:bCs/>
          <w:color w:val="auto"/>
          <w:sz w:val="24"/>
        </w:rPr>
        <w:t>单元</w:t>
      </w:r>
      <w:r>
        <w:rPr>
          <w:rFonts w:ascii="宋体" w:hAnsi="宋体"/>
          <w:b/>
          <w:bCs/>
          <w:color w:val="auto"/>
          <w:sz w:val="24"/>
          <w:lang w:eastAsia="zh-TW"/>
        </w:rPr>
        <w:t>安全检查表</w:t>
      </w:r>
    </w:p>
    <w:tbl>
      <w:tblPr>
        <w:tblStyle w:val="35"/>
        <w:tblW w:w="90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
        <w:gridCol w:w="3733"/>
        <w:gridCol w:w="2048"/>
        <w:gridCol w:w="2075"/>
        <w:gridCol w:w="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6" w:hRule="atLeast"/>
          <w:tblHeader/>
          <w:jc w:val="center"/>
        </w:trPr>
        <w:tc>
          <w:tcPr>
            <w:tcW w:w="489" w:type="dxa"/>
            <w:noWrap w:val="0"/>
            <w:vAlign w:val="center"/>
          </w:tcPr>
          <w:p>
            <w:pPr>
              <w:wordWrap/>
              <w:topLinePunct w:val="0"/>
              <w:bidi w:val="0"/>
              <w:spacing w:line="240" w:lineRule="auto"/>
              <w:jc w:val="center"/>
              <w:textAlignment w:val="auto"/>
              <w:rPr>
                <w:rFonts w:ascii="宋体" w:hAnsi="宋体"/>
                <w:b/>
                <w:color w:val="auto"/>
                <w:szCs w:val="21"/>
              </w:rPr>
            </w:pPr>
            <w:r>
              <w:rPr>
                <w:rFonts w:ascii="宋体" w:hAnsi="宋体"/>
                <w:b/>
                <w:color w:val="auto"/>
                <w:szCs w:val="21"/>
              </w:rPr>
              <w:t>序号</w:t>
            </w:r>
          </w:p>
        </w:tc>
        <w:tc>
          <w:tcPr>
            <w:tcW w:w="3733" w:type="dxa"/>
            <w:noWrap w:val="0"/>
            <w:vAlign w:val="center"/>
          </w:tcPr>
          <w:p>
            <w:pPr>
              <w:wordWrap/>
              <w:topLinePunct w:val="0"/>
              <w:bidi w:val="0"/>
              <w:spacing w:line="240" w:lineRule="auto"/>
              <w:jc w:val="center"/>
              <w:textAlignment w:val="auto"/>
              <w:rPr>
                <w:rFonts w:ascii="宋体" w:hAnsi="宋体"/>
                <w:b/>
                <w:color w:val="auto"/>
                <w:szCs w:val="21"/>
              </w:rPr>
            </w:pPr>
            <w:r>
              <w:rPr>
                <w:rFonts w:ascii="宋体" w:hAnsi="宋体"/>
                <w:b/>
                <w:color w:val="auto"/>
                <w:szCs w:val="21"/>
              </w:rPr>
              <w:t>检查内容</w:t>
            </w:r>
          </w:p>
        </w:tc>
        <w:tc>
          <w:tcPr>
            <w:tcW w:w="2048" w:type="dxa"/>
            <w:noWrap w:val="0"/>
            <w:vAlign w:val="center"/>
          </w:tcPr>
          <w:p>
            <w:pPr>
              <w:wordWrap/>
              <w:topLinePunct w:val="0"/>
              <w:bidi w:val="0"/>
              <w:spacing w:line="240" w:lineRule="auto"/>
              <w:jc w:val="center"/>
              <w:textAlignment w:val="auto"/>
              <w:rPr>
                <w:rFonts w:ascii="宋体" w:hAnsi="宋体"/>
                <w:b/>
                <w:color w:val="auto"/>
                <w:szCs w:val="21"/>
              </w:rPr>
            </w:pPr>
            <w:r>
              <w:rPr>
                <w:rFonts w:ascii="宋体" w:hAnsi="宋体"/>
                <w:b/>
                <w:color w:val="auto"/>
                <w:szCs w:val="21"/>
              </w:rPr>
              <w:t>依据标准条款</w:t>
            </w:r>
          </w:p>
        </w:tc>
        <w:tc>
          <w:tcPr>
            <w:tcW w:w="2075" w:type="dxa"/>
            <w:noWrap w:val="0"/>
            <w:vAlign w:val="center"/>
          </w:tcPr>
          <w:p>
            <w:pPr>
              <w:wordWrap/>
              <w:topLinePunct w:val="0"/>
              <w:bidi w:val="0"/>
              <w:spacing w:line="240" w:lineRule="auto"/>
              <w:jc w:val="center"/>
              <w:textAlignment w:val="auto"/>
              <w:rPr>
                <w:rFonts w:ascii="宋体" w:hAnsi="宋体"/>
                <w:b/>
                <w:color w:val="auto"/>
                <w:szCs w:val="21"/>
              </w:rPr>
            </w:pPr>
            <w:r>
              <w:rPr>
                <w:rFonts w:hint="eastAsia" w:ascii="宋体" w:hAnsi="宋体"/>
                <w:b/>
                <w:color w:val="auto"/>
                <w:kern w:val="0"/>
                <w:szCs w:val="21"/>
                <w:lang w:val="en-US" w:eastAsia="zh-CN"/>
              </w:rPr>
              <w:t>检查</w:t>
            </w:r>
            <w:r>
              <w:rPr>
                <w:rFonts w:ascii="宋体" w:hAnsi="宋体"/>
                <w:b/>
                <w:color w:val="auto"/>
                <w:kern w:val="0"/>
                <w:szCs w:val="21"/>
              </w:rPr>
              <w:t>情况</w:t>
            </w:r>
          </w:p>
        </w:tc>
        <w:tc>
          <w:tcPr>
            <w:tcW w:w="724" w:type="dxa"/>
            <w:noWrap w:val="0"/>
            <w:vAlign w:val="center"/>
          </w:tcPr>
          <w:p>
            <w:pPr>
              <w:wordWrap/>
              <w:topLinePunct w:val="0"/>
              <w:bidi w:val="0"/>
              <w:spacing w:line="240" w:lineRule="auto"/>
              <w:jc w:val="center"/>
              <w:textAlignment w:val="auto"/>
              <w:rPr>
                <w:rFonts w:ascii="宋体" w:hAnsi="宋体"/>
                <w:b/>
                <w:color w:val="auto"/>
                <w:szCs w:val="21"/>
              </w:rPr>
            </w:pPr>
            <w:r>
              <w:rPr>
                <w:rFonts w:ascii="宋体" w:hAnsi="宋体"/>
                <w:b/>
                <w:color w:val="auto"/>
                <w:szCs w:val="21"/>
              </w:rPr>
              <w:t>检查</w:t>
            </w:r>
          </w:p>
          <w:p>
            <w:pPr>
              <w:wordWrap/>
              <w:topLinePunct w:val="0"/>
              <w:bidi w:val="0"/>
              <w:spacing w:line="240" w:lineRule="auto"/>
              <w:jc w:val="center"/>
              <w:textAlignment w:val="auto"/>
              <w:rPr>
                <w:rFonts w:hint="eastAsia" w:ascii="宋体" w:hAnsi="宋体" w:eastAsia="宋体"/>
                <w:b/>
                <w:color w:val="auto"/>
                <w:szCs w:val="21"/>
                <w:lang w:eastAsia="zh-CN"/>
              </w:rPr>
            </w:pPr>
            <w:r>
              <w:rPr>
                <w:rFonts w:hint="eastAsia" w:ascii="宋体" w:hAnsi="宋体"/>
                <w:b/>
                <w:color w:val="auto"/>
                <w:szCs w:val="21"/>
                <w:lang w:val="en-US" w:eastAsia="zh-CN"/>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9069" w:type="dxa"/>
            <w:gridSpan w:val="5"/>
            <w:noWrap w:val="0"/>
            <w:vAlign w:val="center"/>
          </w:tcPr>
          <w:p>
            <w:pPr>
              <w:widowControl/>
              <w:wordWrap/>
              <w:topLinePunct w:val="0"/>
              <w:bidi w:val="0"/>
              <w:spacing w:line="240" w:lineRule="auto"/>
              <w:jc w:val="center"/>
              <w:textAlignment w:val="auto"/>
              <w:outlineLvl w:val="4"/>
              <w:rPr>
                <w:rFonts w:ascii="宋体" w:hAnsi="宋体"/>
                <w:b/>
                <w:color w:val="auto"/>
                <w:szCs w:val="21"/>
              </w:rPr>
            </w:pPr>
            <w:r>
              <w:rPr>
                <w:rFonts w:ascii="宋体" w:hAnsi="宋体"/>
                <w:b/>
                <w:color w:val="auto"/>
                <w:kern w:val="0"/>
                <w:szCs w:val="21"/>
              </w:rPr>
              <w:t>铲装作业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489"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1</w:t>
            </w:r>
          </w:p>
        </w:tc>
        <w:tc>
          <w:tcPr>
            <w:tcW w:w="3733" w:type="dxa"/>
            <w:noWrap w:val="0"/>
            <w:vAlign w:val="center"/>
          </w:tcPr>
          <w:p>
            <w:pPr>
              <w:wordWrap/>
              <w:topLinePunct w:val="0"/>
              <w:bidi w:val="0"/>
              <w:spacing w:line="240" w:lineRule="auto"/>
              <w:textAlignment w:val="auto"/>
              <w:rPr>
                <w:rFonts w:ascii="宋体" w:hAnsi="宋体"/>
                <w:color w:val="auto"/>
                <w:szCs w:val="21"/>
              </w:rPr>
            </w:pPr>
            <w:r>
              <w:rPr>
                <w:rFonts w:ascii="宋体" w:hAnsi="宋体"/>
                <w:color w:val="auto"/>
                <w:szCs w:val="21"/>
              </w:rPr>
              <w:t>装载机、挖掘机汽笛或警报器应完好。进行各种操作时，均应发出警告信号。夜间作业时，车下及前后的所有信号、照明灯应完好。</w:t>
            </w:r>
          </w:p>
        </w:tc>
        <w:tc>
          <w:tcPr>
            <w:tcW w:w="2048" w:type="dxa"/>
            <w:noWrap w:val="0"/>
            <w:vAlign w:val="center"/>
          </w:tcPr>
          <w:p>
            <w:pPr>
              <w:wordWrap/>
              <w:topLinePunct w:val="0"/>
              <w:bidi w:val="0"/>
              <w:spacing w:line="240" w:lineRule="auto"/>
              <w:jc w:val="center"/>
              <w:textAlignment w:val="auto"/>
              <w:rPr>
                <w:rFonts w:hint="default" w:ascii="宋体" w:hAnsi="宋体"/>
                <w:bCs/>
                <w:color w:val="auto"/>
                <w:szCs w:val="21"/>
                <w:lang w:val="en-US"/>
              </w:rPr>
            </w:pPr>
            <w:r>
              <w:rPr>
                <w:rFonts w:hint="eastAsia" w:ascii="宋体" w:hAnsi="宋体"/>
                <w:color w:val="auto"/>
                <w:szCs w:val="21"/>
              </w:rPr>
              <w:t>《金属非金属矿山安全规程》（GB16423-2020）</w:t>
            </w:r>
            <w:r>
              <w:rPr>
                <w:rFonts w:hint="eastAsia" w:ascii="宋体" w:hAnsi="宋体"/>
                <w:color w:val="auto"/>
                <w:szCs w:val="21"/>
                <w:lang w:val="en-US" w:eastAsia="zh-CN"/>
              </w:rPr>
              <w:t>5.2.3.2条</w:t>
            </w:r>
          </w:p>
        </w:tc>
        <w:tc>
          <w:tcPr>
            <w:tcW w:w="2075" w:type="dxa"/>
            <w:noWrap w:val="0"/>
            <w:vAlign w:val="center"/>
          </w:tcPr>
          <w:p>
            <w:pPr>
              <w:widowControl/>
              <w:wordWrap/>
              <w:topLinePunct w:val="0"/>
              <w:bidi w:val="0"/>
              <w:spacing w:line="240" w:lineRule="auto"/>
              <w:jc w:val="center"/>
              <w:textAlignment w:val="auto"/>
              <w:outlineLvl w:val="4"/>
              <w:rPr>
                <w:rFonts w:ascii="宋体" w:hAnsi="宋体"/>
                <w:color w:val="auto"/>
                <w:szCs w:val="21"/>
              </w:rPr>
            </w:pPr>
            <w:r>
              <w:rPr>
                <w:rFonts w:ascii="宋体" w:hAnsi="宋体"/>
                <w:color w:val="auto"/>
                <w:szCs w:val="21"/>
              </w:rPr>
              <w:t>汽笛、照明灯完好</w:t>
            </w:r>
          </w:p>
        </w:tc>
        <w:tc>
          <w:tcPr>
            <w:tcW w:w="724" w:type="dxa"/>
            <w:noWrap w:val="0"/>
            <w:vAlign w:val="center"/>
          </w:tcPr>
          <w:p>
            <w:pPr>
              <w:widowControl/>
              <w:wordWrap/>
              <w:topLinePunct w:val="0"/>
              <w:bidi w:val="0"/>
              <w:spacing w:line="240" w:lineRule="auto"/>
              <w:jc w:val="center"/>
              <w:textAlignment w:val="auto"/>
              <w:outlineLvl w:val="4"/>
              <w:rPr>
                <w:rFonts w:ascii="宋体" w:hAnsi="宋体"/>
                <w:color w:val="auto"/>
                <w:szCs w:val="21"/>
              </w:rPr>
            </w:pPr>
            <w:r>
              <w:rPr>
                <w:rFonts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489"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2</w:t>
            </w:r>
          </w:p>
        </w:tc>
        <w:tc>
          <w:tcPr>
            <w:tcW w:w="3733" w:type="dxa"/>
            <w:noWrap w:val="0"/>
            <w:vAlign w:val="center"/>
          </w:tcPr>
          <w:p>
            <w:pPr>
              <w:widowControl/>
              <w:wordWrap/>
              <w:topLinePunct w:val="0"/>
              <w:bidi w:val="0"/>
              <w:spacing w:line="240" w:lineRule="auto"/>
              <w:textAlignment w:val="auto"/>
              <w:outlineLvl w:val="4"/>
              <w:rPr>
                <w:rFonts w:ascii="宋体" w:hAnsi="宋体"/>
                <w:color w:val="auto"/>
                <w:kern w:val="0"/>
                <w:szCs w:val="21"/>
              </w:rPr>
            </w:pPr>
            <w:r>
              <w:rPr>
                <w:rFonts w:hint="eastAsia" w:ascii="宋体" w:hAnsi="宋体"/>
                <w:color w:val="auto"/>
                <w:szCs w:val="21"/>
              </w:rPr>
              <w:t>铲装设备工作时其平衡装置与台阶坡底的水平距离不小于１ｍ。</w:t>
            </w:r>
          </w:p>
        </w:tc>
        <w:tc>
          <w:tcPr>
            <w:tcW w:w="2048" w:type="dxa"/>
            <w:noWrap w:val="0"/>
            <w:vAlign w:val="center"/>
          </w:tcPr>
          <w:p>
            <w:pPr>
              <w:wordWrap/>
              <w:topLinePunct w:val="0"/>
              <w:bidi w:val="0"/>
              <w:spacing w:line="240" w:lineRule="auto"/>
              <w:jc w:val="center"/>
              <w:textAlignment w:val="auto"/>
              <w:rPr>
                <w:rFonts w:hint="default" w:ascii="宋体" w:hAnsi="宋体" w:eastAsia="宋体"/>
                <w:bCs/>
                <w:color w:val="auto"/>
                <w:szCs w:val="21"/>
                <w:lang w:val="en-US" w:eastAsia="zh-CN"/>
              </w:rPr>
            </w:pPr>
            <w:r>
              <w:rPr>
                <w:rFonts w:hint="eastAsia" w:ascii="宋体" w:hAnsi="宋体"/>
                <w:color w:val="auto"/>
                <w:szCs w:val="21"/>
              </w:rPr>
              <w:t>《金属非金属矿山安全规程》（GB16423-2020）</w:t>
            </w:r>
            <w:r>
              <w:rPr>
                <w:rFonts w:hint="eastAsia" w:ascii="宋体" w:hAnsi="宋体"/>
                <w:color w:val="auto"/>
                <w:szCs w:val="21"/>
                <w:lang w:val="en-US" w:eastAsia="zh-CN"/>
              </w:rPr>
              <w:t>5.2.3.3条</w:t>
            </w:r>
          </w:p>
        </w:tc>
        <w:tc>
          <w:tcPr>
            <w:tcW w:w="2075"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按规定执行</w:t>
            </w:r>
          </w:p>
        </w:tc>
        <w:tc>
          <w:tcPr>
            <w:tcW w:w="724"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9" w:hRule="atLeast"/>
          <w:jc w:val="center"/>
        </w:trPr>
        <w:tc>
          <w:tcPr>
            <w:tcW w:w="489"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3</w:t>
            </w:r>
          </w:p>
        </w:tc>
        <w:tc>
          <w:tcPr>
            <w:tcW w:w="3733" w:type="dxa"/>
            <w:noWrap w:val="0"/>
            <w:vAlign w:val="center"/>
          </w:tcPr>
          <w:p>
            <w:pPr>
              <w:widowControl/>
              <w:wordWrap/>
              <w:topLinePunct w:val="0"/>
              <w:bidi w:val="0"/>
              <w:spacing w:line="240" w:lineRule="auto"/>
              <w:textAlignment w:val="auto"/>
              <w:outlineLvl w:val="4"/>
              <w:rPr>
                <w:rFonts w:ascii="宋体" w:hAnsi="宋体"/>
                <w:color w:val="auto"/>
                <w:kern w:val="0"/>
                <w:szCs w:val="21"/>
              </w:rPr>
            </w:pPr>
            <w:r>
              <w:rPr>
                <w:rFonts w:hint="eastAsia" w:ascii="宋体" w:hAnsi="宋体"/>
                <w:color w:val="auto"/>
                <w:kern w:val="0"/>
                <w:szCs w:val="21"/>
              </w:rPr>
              <w:t>铲装设备工作应遵守下列规定：———悬臂和铲斗及工作面附近不应有人员停留；———铲斗不应从车辆驾驶室上方通过；———人员不应在司机室踏板上或有落石危险的地方停留；———不应调整电铲起重臂</w:t>
            </w:r>
          </w:p>
        </w:tc>
        <w:tc>
          <w:tcPr>
            <w:tcW w:w="2048" w:type="dxa"/>
            <w:noWrap w:val="0"/>
            <w:vAlign w:val="center"/>
          </w:tcPr>
          <w:p>
            <w:pPr>
              <w:wordWrap/>
              <w:topLinePunct w:val="0"/>
              <w:bidi w:val="0"/>
              <w:spacing w:line="240" w:lineRule="auto"/>
              <w:jc w:val="center"/>
              <w:textAlignment w:val="auto"/>
              <w:rPr>
                <w:rFonts w:hint="default" w:ascii="宋体" w:hAnsi="宋体" w:eastAsia="宋体"/>
                <w:color w:val="auto"/>
                <w:szCs w:val="21"/>
                <w:lang w:val="en-US" w:eastAsia="zh-CN"/>
              </w:rPr>
            </w:pPr>
            <w:r>
              <w:rPr>
                <w:rFonts w:hint="eastAsia" w:ascii="宋体" w:hAnsi="宋体"/>
                <w:color w:val="auto"/>
                <w:szCs w:val="21"/>
              </w:rPr>
              <w:t>《金属非金属矿山安全规程》（GB16423-2020）</w:t>
            </w:r>
            <w:r>
              <w:rPr>
                <w:rFonts w:hint="eastAsia" w:ascii="宋体" w:hAnsi="宋体"/>
                <w:color w:val="auto"/>
                <w:szCs w:val="21"/>
                <w:lang w:val="en-US" w:eastAsia="zh-CN"/>
              </w:rPr>
              <w:t>5.2.3.4条</w:t>
            </w:r>
          </w:p>
        </w:tc>
        <w:tc>
          <w:tcPr>
            <w:tcW w:w="2075" w:type="dxa"/>
            <w:noWrap w:val="0"/>
            <w:vAlign w:val="center"/>
          </w:tcPr>
          <w:p>
            <w:pPr>
              <w:wordWrap/>
              <w:topLinePunct w:val="0"/>
              <w:bidi w:val="0"/>
              <w:spacing w:line="240" w:lineRule="auto"/>
              <w:jc w:val="center"/>
              <w:textAlignment w:val="auto"/>
              <w:rPr>
                <w:rFonts w:ascii="宋体" w:hAnsi="宋体"/>
                <w:color w:val="auto"/>
                <w:szCs w:val="21"/>
              </w:rPr>
            </w:pPr>
            <w:r>
              <w:rPr>
                <w:rFonts w:hint="eastAsia" w:ascii="宋体" w:hAnsi="宋体"/>
                <w:color w:val="auto"/>
                <w:szCs w:val="21"/>
              </w:rPr>
              <w:t>按规范操作</w:t>
            </w:r>
          </w:p>
        </w:tc>
        <w:tc>
          <w:tcPr>
            <w:tcW w:w="724" w:type="dxa"/>
            <w:noWrap w:val="0"/>
            <w:vAlign w:val="center"/>
          </w:tcPr>
          <w:p>
            <w:pPr>
              <w:widowControl/>
              <w:wordWrap/>
              <w:topLinePunct w:val="0"/>
              <w:bidi w:val="0"/>
              <w:spacing w:line="240" w:lineRule="auto"/>
              <w:jc w:val="center"/>
              <w:textAlignment w:val="auto"/>
              <w:rPr>
                <w:rFonts w:ascii="宋体" w:hAnsi="宋体"/>
                <w:color w:val="auto"/>
                <w:szCs w:val="21"/>
              </w:rPr>
            </w:pPr>
            <w:r>
              <w:rPr>
                <w:rFonts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5" w:hRule="atLeast"/>
          <w:jc w:val="center"/>
        </w:trPr>
        <w:tc>
          <w:tcPr>
            <w:tcW w:w="489"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4</w:t>
            </w:r>
          </w:p>
        </w:tc>
        <w:tc>
          <w:tcPr>
            <w:tcW w:w="3733" w:type="dxa"/>
            <w:noWrap w:val="0"/>
            <w:vAlign w:val="center"/>
          </w:tcPr>
          <w:p>
            <w:pPr>
              <w:widowControl/>
              <w:wordWrap/>
              <w:topLinePunct w:val="0"/>
              <w:bidi w:val="0"/>
              <w:spacing w:line="240" w:lineRule="auto"/>
              <w:textAlignment w:val="auto"/>
              <w:outlineLvl w:val="4"/>
              <w:rPr>
                <w:rFonts w:ascii="宋体" w:hAnsi="宋体"/>
                <w:color w:val="auto"/>
                <w:kern w:val="0"/>
                <w:szCs w:val="21"/>
              </w:rPr>
            </w:pPr>
            <w:r>
              <w:rPr>
                <w:rFonts w:hint="eastAsia" w:ascii="宋体" w:hAnsi="宋体"/>
                <w:color w:val="auto"/>
                <w:kern w:val="0"/>
                <w:szCs w:val="21"/>
              </w:rPr>
              <w:t>多台铲装设备在同一平台上作业时，铲装设备间距应符合下列规定：———汽车运输：不小于设备最大工作半径的３倍，且不小于５０ｍ；———铁路运输：不小于２列车的长度。</w:t>
            </w:r>
          </w:p>
        </w:tc>
        <w:tc>
          <w:tcPr>
            <w:tcW w:w="2048" w:type="dxa"/>
            <w:noWrap w:val="0"/>
            <w:vAlign w:val="center"/>
          </w:tcPr>
          <w:p>
            <w:pPr>
              <w:wordWrap/>
              <w:topLinePunct w:val="0"/>
              <w:bidi w:val="0"/>
              <w:spacing w:line="240" w:lineRule="auto"/>
              <w:jc w:val="center"/>
              <w:textAlignment w:val="auto"/>
              <w:rPr>
                <w:rFonts w:hint="default" w:ascii="宋体" w:hAnsi="宋体" w:eastAsia="宋体"/>
                <w:color w:val="auto"/>
                <w:szCs w:val="21"/>
                <w:lang w:val="en-US" w:eastAsia="zh-CN"/>
              </w:rPr>
            </w:pPr>
            <w:r>
              <w:rPr>
                <w:rFonts w:hint="eastAsia" w:ascii="宋体" w:hAnsi="宋体"/>
                <w:color w:val="auto"/>
                <w:szCs w:val="21"/>
              </w:rPr>
              <w:t>《金属非金属矿山安全规程》（GB16423-2020）</w:t>
            </w:r>
            <w:r>
              <w:rPr>
                <w:rFonts w:hint="eastAsia" w:ascii="宋体" w:hAnsi="宋体"/>
                <w:color w:val="auto"/>
                <w:szCs w:val="21"/>
                <w:lang w:val="en-US" w:eastAsia="zh-CN"/>
              </w:rPr>
              <w:t>5.2.3.5条</w:t>
            </w:r>
          </w:p>
        </w:tc>
        <w:tc>
          <w:tcPr>
            <w:tcW w:w="2075" w:type="dxa"/>
            <w:noWrap w:val="0"/>
            <w:vAlign w:val="center"/>
          </w:tcPr>
          <w:p>
            <w:pPr>
              <w:wordWrap/>
              <w:topLinePunct w:val="0"/>
              <w:bidi w:val="0"/>
              <w:spacing w:line="240" w:lineRule="auto"/>
              <w:jc w:val="center"/>
              <w:textAlignment w:val="auto"/>
              <w:rPr>
                <w:rFonts w:ascii="宋体" w:hAnsi="宋体"/>
                <w:color w:val="auto"/>
                <w:szCs w:val="21"/>
              </w:rPr>
            </w:pPr>
            <w:r>
              <w:rPr>
                <w:rFonts w:hint="eastAsia" w:ascii="宋体" w:hAnsi="宋体"/>
                <w:color w:val="auto"/>
                <w:szCs w:val="21"/>
              </w:rPr>
              <w:t>按规范操作</w:t>
            </w:r>
          </w:p>
        </w:tc>
        <w:tc>
          <w:tcPr>
            <w:tcW w:w="724" w:type="dxa"/>
            <w:noWrap w:val="0"/>
            <w:vAlign w:val="center"/>
          </w:tcPr>
          <w:p>
            <w:pPr>
              <w:widowControl/>
              <w:wordWrap/>
              <w:topLinePunct w:val="0"/>
              <w:bidi w:val="0"/>
              <w:spacing w:line="240" w:lineRule="auto"/>
              <w:jc w:val="center"/>
              <w:textAlignment w:val="auto"/>
              <w:rPr>
                <w:rFonts w:ascii="宋体" w:hAnsi="宋体"/>
                <w:color w:val="auto"/>
                <w:szCs w:val="21"/>
              </w:rPr>
            </w:pPr>
            <w:r>
              <w:rPr>
                <w:rFonts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6" w:hRule="atLeast"/>
          <w:jc w:val="center"/>
        </w:trPr>
        <w:tc>
          <w:tcPr>
            <w:tcW w:w="489"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5</w:t>
            </w:r>
          </w:p>
        </w:tc>
        <w:tc>
          <w:tcPr>
            <w:tcW w:w="3733" w:type="dxa"/>
            <w:noWrap w:val="0"/>
            <w:vAlign w:val="center"/>
          </w:tcPr>
          <w:p>
            <w:pPr>
              <w:widowControl/>
              <w:wordWrap/>
              <w:topLinePunct w:val="0"/>
              <w:bidi w:val="0"/>
              <w:spacing w:line="240" w:lineRule="auto"/>
              <w:textAlignment w:val="auto"/>
              <w:outlineLvl w:val="4"/>
              <w:rPr>
                <w:rFonts w:hint="eastAsia" w:ascii="宋体" w:hAnsi="宋体"/>
                <w:color w:val="auto"/>
                <w:kern w:val="0"/>
                <w:szCs w:val="21"/>
              </w:rPr>
            </w:pPr>
            <w:r>
              <w:rPr>
                <w:rFonts w:hint="eastAsia" w:ascii="宋体" w:hAnsi="宋体"/>
                <w:color w:val="auto"/>
                <w:kern w:val="0"/>
                <w:szCs w:val="21"/>
              </w:rPr>
              <w:t>上、下台阶同时作业时，上部台阶的铲装设备应超前下部台阶铲装设备；超前距离不小于铲装设备最大工作半径的３倍，且不小于５０ｍ。</w:t>
            </w:r>
          </w:p>
        </w:tc>
        <w:tc>
          <w:tcPr>
            <w:tcW w:w="2048" w:type="dxa"/>
            <w:noWrap w:val="0"/>
            <w:vAlign w:val="center"/>
          </w:tcPr>
          <w:p>
            <w:pPr>
              <w:wordWrap/>
              <w:topLinePunct w:val="0"/>
              <w:bidi w:val="0"/>
              <w:spacing w:line="240" w:lineRule="auto"/>
              <w:jc w:val="center"/>
              <w:textAlignment w:val="auto"/>
              <w:rPr>
                <w:rFonts w:hint="default" w:ascii="宋体" w:hAnsi="宋体" w:eastAsia="宋体"/>
                <w:color w:val="auto"/>
                <w:szCs w:val="21"/>
                <w:lang w:val="en-US" w:eastAsia="zh-CN"/>
              </w:rPr>
            </w:pPr>
            <w:r>
              <w:rPr>
                <w:rFonts w:hint="eastAsia" w:ascii="宋体" w:hAnsi="宋体"/>
                <w:color w:val="auto"/>
                <w:szCs w:val="21"/>
              </w:rPr>
              <w:t>《金属非金属矿山安全规程》（GB16423-2020）</w:t>
            </w:r>
            <w:r>
              <w:rPr>
                <w:rFonts w:hint="eastAsia" w:ascii="宋体" w:hAnsi="宋体"/>
                <w:color w:val="auto"/>
                <w:szCs w:val="21"/>
                <w:lang w:val="en-US" w:eastAsia="zh-CN"/>
              </w:rPr>
              <w:t>5.2.3.6条</w:t>
            </w:r>
          </w:p>
        </w:tc>
        <w:tc>
          <w:tcPr>
            <w:tcW w:w="2075"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按照作业规程执行</w:t>
            </w:r>
          </w:p>
        </w:tc>
        <w:tc>
          <w:tcPr>
            <w:tcW w:w="724" w:type="dxa"/>
            <w:noWrap w:val="0"/>
            <w:vAlign w:val="center"/>
          </w:tcPr>
          <w:p>
            <w:pPr>
              <w:widowControl/>
              <w:wordWrap/>
              <w:topLinePunct w:val="0"/>
              <w:bidi w:val="0"/>
              <w:spacing w:line="240" w:lineRule="auto"/>
              <w:jc w:val="center"/>
              <w:textAlignment w:val="auto"/>
              <w:rPr>
                <w:rFonts w:ascii="宋体" w:hAnsi="宋体"/>
                <w:color w:val="auto"/>
                <w:szCs w:val="21"/>
              </w:rPr>
            </w:pPr>
            <w:r>
              <w:rPr>
                <w:rFonts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atLeast"/>
          <w:jc w:val="center"/>
        </w:trPr>
        <w:tc>
          <w:tcPr>
            <w:tcW w:w="489"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6</w:t>
            </w:r>
          </w:p>
        </w:tc>
        <w:tc>
          <w:tcPr>
            <w:tcW w:w="3733" w:type="dxa"/>
            <w:noWrap w:val="0"/>
            <w:vAlign w:val="center"/>
          </w:tcPr>
          <w:p>
            <w:pPr>
              <w:widowControl/>
              <w:wordWrap/>
              <w:topLinePunct w:val="0"/>
              <w:bidi w:val="0"/>
              <w:spacing w:line="240" w:lineRule="auto"/>
              <w:textAlignment w:val="auto"/>
              <w:outlineLvl w:val="4"/>
              <w:rPr>
                <w:rFonts w:ascii="宋体" w:hAnsi="宋体"/>
                <w:color w:val="auto"/>
                <w:kern w:val="0"/>
                <w:szCs w:val="21"/>
              </w:rPr>
            </w:pPr>
            <w:r>
              <w:rPr>
                <w:rFonts w:hint="eastAsia" w:ascii="宋体" w:hAnsi="宋体"/>
                <w:color w:val="auto"/>
                <w:kern w:val="0"/>
                <w:szCs w:val="21"/>
              </w:rPr>
              <w:t>铲装时铲斗不应压、碰运输设备；铲斗卸载时，铲斗下沿与运输设备上沿高差不大于０．５ｍ；不应用铲斗处理</w:t>
            </w:r>
            <w:r>
              <w:rPr>
                <w:rFonts w:hint="eastAsia" w:ascii="宋体" w:hAnsi="宋体"/>
                <w:color w:val="auto"/>
                <w:kern w:val="0"/>
                <w:szCs w:val="21"/>
                <w:lang w:eastAsia="zh-CN"/>
              </w:rPr>
              <w:t>车厢</w:t>
            </w:r>
            <w:r>
              <w:rPr>
                <w:rFonts w:hint="eastAsia" w:ascii="宋体" w:hAnsi="宋体"/>
                <w:color w:val="auto"/>
                <w:kern w:val="0"/>
                <w:szCs w:val="21"/>
              </w:rPr>
              <w:t>粘结物。</w:t>
            </w:r>
          </w:p>
        </w:tc>
        <w:tc>
          <w:tcPr>
            <w:tcW w:w="2048" w:type="dxa"/>
            <w:noWrap w:val="0"/>
            <w:vAlign w:val="center"/>
          </w:tcPr>
          <w:p>
            <w:pPr>
              <w:wordWrap/>
              <w:topLinePunct w:val="0"/>
              <w:bidi w:val="0"/>
              <w:spacing w:line="240" w:lineRule="auto"/>
              <w:jc w:val="center"/>
              <w:textAlignment w:val="auto"/>
              <w:rPr>
                <w:rFonts w:hint="default" w:ascii="宋体" w:hAnsi="宋体" w:eastAsia="宋体"/>
                <w:color w:val="auto"/>
                <w:szCs w:val="21"/>
                <w:lang w:val="en-US" w:eastAsia="zh-CN"/>
              </w:rPr>
            </w:pPr>
            <w:r>
              <w:rPr>
                <w:rFonts w:hint="eastAsia" w:ascii="宋体" w:hAnsi="宋体"/>
                <w:color w:val="auto"/>
                <w:szCs w:val="21"/>
              </w:rPr>
              <w:t>《金属非金属矿山安全规程》（GB16423-2020）</w:t>
            </w:r>
            <w:r>
              <w:rPr>
                <w:rFonts w:hint="eastAsia" w:ascii="宋体" w:hAnsi="宋体"/>
                <w:color w:val="auto"/>
                <w:szCs w:val="21"/>
                <w:lang w:val="en-US" w:eastAsia="zh-CN"/>
              </w:rPr>
              <w:t>5.2.3.7条</w:t>
            </w:r>
          </w:p>
        </w:tc>
        <w:tc>
          <w:tcPr>
            <w:tcW w:w="2075"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按照作业规程执行</w:t>
            </w:r>
          </w:p>
        </w:tc>
        <w:tc>
          <w:tcPr>
            <w:tcW w:w="724" w:type="dxa"/>
            <w:noWrap w:val="0"/>
            <w:vAlign w:val="center"/>
          </w:tcPr>
          <w:p>
            <w:pPr>
              <w:widowControl/>
              <w:wordWrap/>
              <w:topLinePunct w:val="0"/>
              <w:bidi w:val="0"/>
              <w:spacing w:line="240" w:lineRule="auto"/>
              <w:jc w:val="center"/>
              <w:textAlignment w:val="auto"/>
              <w:rPr>
                <w:rFonts w:ascii="宋体" w:hAnsi="宋体"/>
                <w:color w:val="auto"/>
                <w:szCs w:val="21"/>
              </w:rPr>
            </w:pPr>
            <w:r>
              <w:rPr>
                <w:rFonts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489"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7</w:t>
            </w:r>
          </w:p>
        </w:tc>
        <w:tc>
          <w:tcPr>
            <w:tcW w:w="3733" w:type="dxa"/>
            <w:noWrap w:val="0"/>
            <w:vAlign w:val="center"/>
          </w:tcPr>
          <w:p>
            <w:pPr>
              <w:widowControl/>
              <w:wordWrap/>
              <w:topLinePunct w:val="0"/>
              <w:bidi w:val="0"/>
              <w:spacing w:line="240" w:lineRule="auto"/>
              <w:textAlignment w:val="auto"/>
              <w:outlineLvl w:val="4"/>
              <w:rPr>
                <w:rFonts w:ascii="宋体" w:hAnsi="宋体"/>
                <w:color w:val="auto"/>
                <w:kern w:val="0"/>
                <w:szCs w:val="21"/>
              </w:rPr>
            </w:pPr>
            <w:r>
              <w:rPr>
                <w:rFonts w:hint="eastAsia" w:ascii="宋体" w:hAnsi="宋体"/>
                <w:color w:val="auto"/>
                <w:kern w:val="0"/>
                <w:szCs w:val="21"/>
              </w:rPr>
              <w:t>发现悬浮岩块或崩塌征兆时，应立即停止铲装作业，并将设备转移至安全地带。</w:t>
            </w:r>
          </w:p>
        </w:tc>
        <w:tc>
          <w:tcPr>
            <w:tcW w:w="2048" w:type="dxa"/>
            <w:noWrap w:val="0"/>
            <w:vAlign w:val="center"/>
          </w:tcPr>
          <w:p>
            <w:pPr>
              <w:wordWrap/>
              <w:topLinePunct w:val="0"/>
              <w:bidi w:val="0"/>
              <w:spacing w:line="240" w:lineRule="auto"/>
              <w:jc w:val="center"/>
              <w:textAlignment w:val="auto"/>
              <w:rPr>
                <w:rFonts w:hint="default" w:ascii="宋体" w:hAnsi="宋体" w:eastAsia="宋体"/>
                <w:color w:val="auto"/>
                <w:szCs w:val="21"/>
                <w:lang w:val="en-US" w:eastAsia="zh-CN"/>
              </w:rPr>
            </w:pPr>
            <w:r>
              <w:rPr>
                <w:rFonts w:hint="eastAsia" w:ascii="宋体" w:hAnsi="宋体"/>
                <w:color w:val="auto"/>
                <w:szCs w:val="21"/>
              </w:rPr>
              <w:t>《金属非金属矿山安全规程》（GB16423-2020）</w:t>
            </w:r>
            <w:r>
              <w:rPr>
                <w:rFonts w:hint="eastAsia" w:ascii="宋体" w:hAnsi="宋体"/>
                <w:color w:val="auto"/>
                <w:szCs w:val="21"/>
                <w:lang w:val="en-US" w:eastAsia="zh-CN"/>
              </w:rPr>
              <w:t>5.2.3.8条</w:t>
            </w:r>
          </w:p>
        </w:tc>
        <w:tc>
          <w:tcPr>
            <w:tcW w:w="2075"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按照作业规程执行</w:t>
            </w:r>
          </w:p>
        </w:tc>
        <w:tc>
          <w:tcPr>
            <w:tcW w:w="724" w:type="dxa"/>
            <w:noWrap w:val="0"/>
            <w:vAlign w:val="center"/>
          </w:tcPr>
          <w:p>
            <w:pPr>
              <w:widowControl/>
              <w:wordWrap/>
              <w:topLinePunct w:val="0"/>
              <w:bidi w:val="0"/>
              <w:spacing w:line="240" w:lineRule="auto"/>
              <w:jc w:val="center"/>
              <w:textAlignment w:val="auto"/>
              <w:rPr>
                <w:rFonts w:ascii="宋体" w:hAnsi="宋体"/>
                <w:color w:val="auto"/>
                <w:szCs w:val="21"/>
              </w:rPr>
            </w:pPr>
            <w:r>
              <w:rPr>
                <w:rFonts w:ascii="宋体" w:hAnsi="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489"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8</w:t>
            </w:r>
          </w:p>
        </w:tc>
        <w:tc>
          <w:tcPr>
            <w:tcW w:w="3733" w:type="dxa"/>
            <w:noWrap w:val="0"/>
            <w:vAlign w:val="center"/>
          </w:tcPr>
          <w:p>
            <w:pPr>
              <w:widowControl/>
              <w:wordWrap/>
              <w:topLinePunct w:val="0"/>
              <w:bidi w:val="0"/>
              <w:spacing w:line="240" w:lineRule="auto"/>
              <w:textAlignment w:val="auto"/>
              <w:outlineLvl w:val="4"/>
              <w:rPr>
                <w:rFonts w:hint="eastAsia" w:ascii="宋体" w:hAnsi="宋体" w:eastAsia="宋体"/>
                <w:color w:val="auto"/>
                <w:kern w:val="0"/>
                <w:szCs w:val="21"/>
                <w:lang w:eastAsia="zh-CN"/>
              </w:rPr>
            </w:pPr>
            <w:r>
              <w:rPr>
                <w:rFonts w:hint="eastAsia" w:ascii="宋体" w:hAnsi="宋体"/>
                <w:color w:val="auto"/>
                <w:kern w:val="0"/>
                <w:szCs w:val="21"/>
              </w:rPr>
              <w:t>铲装设备穿过铁路、电缆线路或者风水管路时，应采取安全防护措施保护电缆、风水管和铁路设施。</w:t>
            </w:r>
          </w:p>
        </w:tc>
        <w:tc>
          <w:tcPr>
            <w:tcW w:w="2048" w:type="dxa"/>
            <w:noWrap w:val="0"/>
            <w:vAlign w:val="center"/>
          </w:tcPr>
          <w:p>
            <w:pPr>
              <w:wordWrap/>
              <w:topLinePunct w:val="0"/>
              <w:bidi w:val="0"/>
              <w:spacing w:line="240" w:lineRule="auto"/>
              <w:jc w:val="center"/>
              <w:textAlignment w:val="auto"/>
              <w:rPr>
                <w:rFonts w:hint="default" w:ascii="宋体" w:hAnsi="宋体" w:eastAsia="宋体"/>
                <w:color w:val="auto"/>
                <w:szCs w:val="21"/>
                <w:lang w:val="en-US" w:eastAsia="zh-CN"/>
              </w:rPr>
            </w:pPr>
            <w:r>
              <w:rPr>
                <w:rFonts w:hint="eastAsia" w:ascii="宋体" w:hAnsi="宋体"/>
                <w:color w:val="auto"/>
                <w:szCs w:val="21"/>
              </w:rPr>
              <w:t>《金属非金属矿山安全规程》（GB16423-2020）</w:t>
            </w:r>
            <w:r>
              <w:rPr>
                <w:rFonts w:hint="eastAsia" w:ascii="宋体" w:hAnsi="宋体"/>
                <w:color w:val="auto"/>
                <w:szCs w:val="21"/>
                <w:lang w:val="en-US" w:eastAsia="zh-CN"/>
              </w:rPr>
              <w:t>5.2.3.9条</w:t>
            </w:r>
          </w:p>
        </w:tc>
        <w:tc>
          <w:tcPr>
            <w:tcW w:w="2075" w:type="dxa"/>
            <w:noWrap w:val="0"/>
            <w:vAlign w:val="center"/>
          </w:tcPr>
          <w:p>
            <w:pPr>
              <w:widowControl/>
              <w:wordWrap/>
              <w:topLinePunct w:val="0"/>
              <w:bidi w:val="0"/>
              <w:spacing w:line="240" w:lineRule="auto"/>
              <w:textAlignment w:val="auto"/>
              <w:outlineLvl w:val="4"/>
              <w:rPr>
                <w:rFonts w:ascii="宋体" w:hAnsi="宋体"/>
                <w:color w:val="auto"/>
                <w:kern w:val="0"/>
                <w:szCs w:val="21"/>
              </w:rPr>
            </w:pPr>
            <w:r>
              <w:rPr>
                <w:rFonts w:ascii="宋体" w:hAnsi="宋体"/>
                <w:color w:val="auto"/>
                <w:szCs w:val="21"/>
              </w:rPr>
              <w:t>按照作业规程执行</w:t>
            </w:r>
          </w:p>
        </w:tc>
        <w:tc>
          <w:tcPr>
            <w:tcW w:w="724" w:type="dxa"/>
            <w:noWrap w:val="0"/>
            <w:vAlign w:val="center"/>
          </w:tcPr>
          <w:p>
            <w:pPr>
              <w:widowControl/>
              <w:wordWrap/>
              <w:topLinePunct w:val="0"/>
              <w:bidi w:val="0"/>
              <w:spacing w:line="240" w:lineRule="auto"/>
              <w:jc w:val="center"/>
              <w:textAlignment w:val="auto"/>
              <w:outlineLvl w:val="4"/>
              <w:rPr>
                <w:rFonts w:ascii="宋体" w:hAnsi="宋体"/>
                <w:color w:val="auto"/>
                <w:kern w:val="0"/>
                <w:szCs w:val="21"/>
              </w:rPr>
            </w:pPr>
            <w:r>
              <w:rPr>
                <w:rFonts w:ascii="宋体" w:hAnsi="宋体"/>
                <w:color w:val="auto"/>
                <w:kern w:val="0"/>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489" w:type="dxa"/>
            <w:noWrap w:val="0"/>
            <w:vAlign w:val="center"/>
          </w:tcPr>
          <w:p>
            <w:pPr>
              <w:wordWrap/>
              <w:topLinePunct w:val="0"/>
              <w:bidi w:val="0"/>
              <w:spacing w:line="240" w:lineRule="auto"/>
              <w:jc w:val="center"/>
              <w:textAlignment w:val="auto"/>
              <w:rPr>
                <w:rFonts w:ascii="宋体" w:hAnsi="宋体"/>
                <w:color w:val="auto"/>
                <w:szCs w:val="21"/>
              </w:rPr>
            </w:pPr>
            <w:r>
              <w:rPr>
                <w:rFonts w:ascii="宋体" w:hAnsi="宋体"/>
                <w:color w:val="auto"/>
                <w:szCs w:val="21"/>
              </w:rPr>
              <w:t>9</w:t>
            </w:r>
          </w:p>
        </w:tc>
        <w:tc>
          <w:tcPr>
            <w:tcW w:w="3733" w:type="dxa"/>
            <w:noWrap w:val="0"/>
            <w:vAlign w:val="center"/>
          </w:tcPr>
          <w:p>
            <w:pPr>
              <w:widowControl/>
              <w:wordWrap/>
              <w:topLinePunct w:val="0"/>
              <w:bidi w:val="0"/>
              <w:spacing w:line="240" w:lineRule="auto"/>
              <w:textAlignment w:val="auto"/>
              <w:outlineLvl w:val="4"/>
              <w:rPr>
                <w:rFonts w:ascii="宋体" w:hAnsi="宋体"/>
                <w:color w:val="auto"/>
                <w:kern w:val="0"/>
                <w:szCs w:val="21"/>
              </w:rPr>
            </w:pPr>
            <w:r>
              <w:rPr>
                <w:rFonts w:hint="eastAsia" w:ascii="宋体" w:hAnsi="宋体"/>
                <w:color w:val="auto"/>
                <w:kern w:val="0"/>
                <w:szCs w:val="21"/>
              </w:rPr>
              <w:t>铲装设备行走应遵守下列规定：———应在作业平台的稳定范围内行走；———上、下坡时铲斗应下放并与地面保持适当距离。</w:t>
            </w:r>
          </w:p>
        </w:tc>
        <w:tc>
          <w:tcPr>
            <w:tcW w:w="2048" w:type="dxa"/>
            <w:noWrap w:val="0"/>
            <w:vAlign w:val="center"/>
          </w:tcPr>
          <w:p>
            <w:pPr>
              <w:wordWrap/>
              <w:topLinePunct w:val="0"/>
              <w:bidi w:val="0"/>
              <w:spacing w:line="240" w:lineRule="auto"/>
              <w:jc w:val="center"/>
              <w:textAlignment w:val="auto"/>
              <w:rPr>
                <w:rFonts w:hint="default" w:ascii="宋体" w:hAnsi="宋体" w:eastAsia="宋体"/>
                <w:color w:val="auto"/>
                <w:szCs w:val="21"/>
                <w:lang w:val="en-US" w:eastAsia="zh-CN"/>
              </w:rPr>
            </w:pPr>
            <w:r>
              <w:rPr>
                <w:rFonts w:hint="eastAsia" w:ascii="宋体" w:hAnsi="宋体"/>
                <w:color w:val="auto"/>
                <w:szCs w:val="21"/>
              </w:rPr>
              <w:t>《金属非金属矿山安全规程》（GB16423-2020）</w:t>
            </w:r>
            <w:r>
              <w:rPr>
                <w:rFonts w:hint="eastAsia" w:ascii="宋体" w:hAnsi="宋体"/>
                <w:color w:val="auto"/>
                <w:szCs w:val="21"/>
                <w:lang w:val="en-US" w:eastAsia="zh-CN"/>
              </w:rPr>
              <w:t>5.2.3.10条</w:t>
            </w:r>
          </w:p>
        </w:tc>
        <w:tc>
          <w:tcPr>
            <w:tcW w:w="2075" w:type="dxa"/>
            <w:noWrap w:val="0"/>
            <w:vAlign w:val="center"/>
          </w:tcPr>
          <w:p>
            <w:pPr>
              <w:wordWrap/>
              <w:topLinePunct w:val="0"/>
              <w:bidi w:val="0"/>
              <w:spacing w:line="240" w:lineRule="auto"/>
              <w:textAlignment w:val="auto"/>
              <w:rPr>
                <w:rFonts w:ascii="宋体" w:hAnsi="宋体"/>
                <w:color w:val="auto"/>
                <w:szCs w:val="21"/>
              </w:rPr>
            </w:pPr>
            <w:r>
              <w:rPr>
                <w:rFonts w:ascii="宋体" w:hAnsi="宋体"/>
                <w:color w:val="auto"/>
                <w:szCs w:val="21"/>
              </w:rPr>
              <w:t>按照作业规程执行</w:t>
            </w:r>
          </w:p>
        </w:tc>
        <w:tc>
          <w:tcPr>
            <w:tcW w:w="724" w:type="dxa"/>
            <w:noWrap w:val="0"/>
            <w:vAlign w:val="center"/>
          </w:tcPr>
          <w:p>
            <w:pPr>
              <w:widowControl/>
              <w:wordWrap/>
              <w:topLinePunct w:val="0"/>
              <w:bidi w:val="0"/>
              <w:spacing w:line="240" w:lineRule="auto"/>
              <w:jc w:val="center"/>
              <w:textAlignment w:val="auto"/>
              <w:rPr>
                <w:rFonts w:ascii="宋体" w:hAnsi="宋体"/>
                <w:color w:val="auto"/>
                <w:szCs w:val="21"/>
              </w:rPr>
            </w:pPr>
            <w:r>
              <w:rPr>
                <w:rFonts w:ascii="宋体" w:hAnsi="宋体"/>
                <w:color w:val="auto"/>
                <w:szCs w:val="21"/>
              </w:rPr>
              <w:t>符合</w:t>
            </w:r>
          </w:p>
        </w:tc>
      </w:tr>
    </w:tbl>
    <w:p>
      <w:pPr>
        <w:pStyle w:val="6"/>
        <w:bidi w:val="0"/>
        <w:rPr>
          <w:rFonts w:hint="eastAsia"/>
        </w:rPr>
      </w:pPr>
      <w:bookmarkStart w:id="440" w:name="_Toc102829739"/>
      <w:bookmarkStart w:id="441" w:name="_Toc28754"/>
      <w:bookmarkStart w:id="442" w:name="_Toc510167441"/>
      <w:bookmarkStart w:id="443" w:name="_Toc32026"/>
      <w:r>
        <w:rPr>
          <w:rFonts w:hint="eastAsia"/>
        </w:rPr>
        <w:t>4.4.</w:t>
      </w:r>
      <w:r>
        <w:rPr>
          <w:rFonts w:hint="eastAsia"/>
          <w:lang w:val="en-US" w:eastAsia="zh-CN"/>
        </w:rPr>
        <w:t>2</w:t>
      </w:r>
      <w:r>
        <w:rPr>
          <w:rFonts w:hint="eastAsia"/>
        </w:rPr>
        <w:t>.2现状与设计吻合性分析</w:t>
      </w:r>
      <w:bookmarkEnd w:id="440"/>
      <w:bookmarkEnd w:id="441"/>
      <w:bookmarkEnd w:id="442"/>
      <w:bookmarkEnd w:id="443"/>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b/>
          <w:bCs/>
          <w:color w:val="auto"/>
          <w:kern w:val="2"/>
          <w:sz w:val="28"/>
          <w:szCs w:val="28"/>
          <w:lang w:val="en-US" w:eastAsia="zh-CN" w:bidi="ar-SA"/>
        </w:rPr>
      </w:pPr>
      <w:r>
        <w:rPr>
          <w:rFonts w:hint="eastAsia" w:ascii="宋体" w:hAnsi="宋体" w:cs="宋体"/>
          <w:b/>
          <w:bCs/>
          <w:color w:val="auto"/>
          <w:kern w:val="2"/>
          <w:sz w:val="28"/>
          <w:szCs w:val="28"/>
          <w:lang w:val="en-US" w:eastAsia="zh-CN" w:bidi="ar-SA"/>
        </w:rPr>
        <w:t>1.设计情况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设计采用矿山原有1台挖掘机铲装，5t矿用自卸汽车运输矿岩。采用场外折返公路汽车开拓、运输，公路最大纵坡度采用10%，公路采用泥结碎石路面，单车道路面宽度4.5m</w:t>
      </w:r>
      <w:r>
        <w:rPr>
          <w:rFonts w:hint="eastAsia" w:ascii="宋体" w:hAnsi="宋体" w:cs="宋体"/>
          <w:color w:val="auto"/>
          <w:kern w:val="2"/>
          <w:sz w:val="28"/>
          <w:szCs w:val="28"/>
          <w:lang w:val="en-US" w:eastAsia="zh-CN" w:bidi="ar-SA"/>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cs="宋体"/>
          <w:b/>
          <w:bCs/>
          <w:color w:val="auto"/>
          <w:kern w:val="2"/>
          <w:sz w:val="28"/>
          <w:szCs w:val="28"/>
          <w:lang w:val="en-US" w:eastAsia="zh-CN" w:bidi="ar-SA"/>
        </w:rPr>
      </w:pPr>
      <w:r>
        <w:rPr>
          <w:rFonts w:hint="eastAsia" w:ascii="宋体" w:hAnsi="宋体" w:cs="宋体"/>
          <w:b/>
          <w:bCs/>
          <w:color w:val="auto"/>
          <w:kern w:val="2"/>
          <w:sz w:val="28"/>
          <w:szCs w:val="28"/>
          <w:lang w:val="en-US" w:eastAsia="zh-CN" w:bidi="ar-SA"/>
        </w:rPr>
        <w:t>2.现状情况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矿山目前采用2台徐工挖掘机负责矿石铲装挖掘、1台柳工50装载机配合平整场地、矿岩的转运作业，采用装载机铲装，自卸汽车运输的方式。</w:t>
      </w:r>
    </w:p>
    <w:p>
      <w:pPr>
        <w:wordWrap/>
        <w:topLinePunct w:val="0"/>
        <w:autoSpaceDE w:val="0"/>
        <w:autoSpaceDN w:val="0"/>
        <w:bidi w:val="0"/>
        <w:spacing w:line="500" w:lineRule="exact"/>
        <w:ind w:firstLine="561"/>
        <w:jc w:val="left"/>
        <w:textAlignment w:val="auto"/>
        <w:rPr>
          <w:rFonts w:hint="eastAsia" w:ascii="宋体" w:hAnsi="宋体" w:eastAsia="宋体" w:cs="宋体"/>
          <w:color w:val="auto"/>
          <w:kern w:val="0"/>
          <w:sz w:val="28"/>
          <w:szCs w:val="28"/>
          <w:lang w:val="zh-CN"/>
        </w:rPr>
      </w:pPr>
      <w:r>
        <w:rPr>
          <w:rFonts w:hint="eastAsia" w:ascii="宋体" w:hAnsi="宋体" w:eastAsia="宋体" w:cs="宋体"/>
          <w:color w:val="auto"/>
          <w:kern w:val="0"/>
          <w:sz w:val="28"/>
          <w:szCs w:val="28"/>
          <w:lang w:val="zh-CN"/>
        </w:rPr>
        <w:t>综上所述，铲装作业符合设计要求。</w:t>
      </w:r>
    </w:p>
    <w:p>
      <w:pPr>
        <w:pStyle w:val="47"/>
        <w:bidi w:val="0"/>
        <w:rPr>
          <w:rFonts w:hint="default"/>
          <w:lang w:val="en-US" w:eastAsia="zh-CN"/>
        </w:rPr>
      </w:pPr>
      <w:r>
        <w:rPr>
          <w:rFonts w:hint="eastAsia"/>
          <w:lang w:val="en-US" w:eastAsia="zh-CN"/>
        </w:rPr>
        <w:t>4.4.2.3单元存在问题及对策措施</w:t>
      </w:r>
    </w:p>
    <w:p>
      <w:pPr>
        <w:wordWrap/>
        <w:topLinePunct w:val="0"/>
        <w:autoSpaceDE w:val="0"/>
        <w:autoSpaceDN w:val="0"/>
        <w:bidi w:val="0"/>
        <w:spacing w:line="500" w:lineRule="exact"/>
        <w:ind w:firstLine="561"/>
        <w:jc w:val="left"/>
        <w:textAlignment w:val="auto"/>
        <w:rPr>
          <w:rFonts w:hint="eastAsia" w:ascii="宋体" w:hAnsi="宋体" w:eastAsia="宋体" w:cs="宋体"/>
          <w:color w:val="auto"/>
          <w:kern w:val="2"/>
          <w:sz w:val="28"/>
          <w:szCs w:val="28"/>
          <w:lang w:eastAsia="zh-CN"/>
        </w:rPr>
      </w:pPr>
      <w:r>
        <w:rPr>
          <w:rFonts w:hint="eastAsia" w:ascii="宋体" w:hAnsi="宋体" w:eastAsia="宋体" w:cs="宋体"/>
          <w:color w:val="auto"/>
          <w:kern w:val="0"/>
          <w:sz w:val="28"/>
          <w:szCs w:val="28"/>
          <w:lang w:val="en-US" w:eastAsia="zh-CN"/>
        </w:rPr>
        <w:t>存在问题：在用的</w:t>
      </w:r>
      <w:r>
        <w:rPr>
          <w:rFonts w:hint="eastAsia" w:ascii="宋体" w:hAnsi="宋体" w:eastAsia="宋体" w:cs="宋体"/>
          <w:color w:val="auto"/>
          <w:kern w:val="2"/>
          <w:sz w:val="28"/>
          <w:szCs w:val="28"/>
        </w:rPr>
        <w:t>装载机、挖掘机驾驶室内未配备灭火器</w:t>
      </w:r>
      <w:r>
        <w:rPr>
          <w:rFonts w:hint="eastAsia" w:ascii="宋体" w:hAnsi="宋体" w:eastAsia="宋体" w:cs="宋体"/>
          <w:color w:val="auto"/>
          <w:kern w:val="2"/>
          <w:sz w:val="28"/>
          <w:szCs w:val="28"/>
          <w:lang w:eastAsia="zh-CN"/>
        </w:rPr>
        <w:t>。</w:t>
      </w:r>
    </w:p>
    <w:p>
      <w:pPr>
        <w:wordWrap/>
        <w:topLinePunct w:val="0"/>
        <w:autoSpaceDE w:val="0"/>
        <w:autoSpaceDN w:val="0"/>
        <w:bidi w:val="0"/>
        <w:spacing w:line="500" w:lineRule="exact"/>
        <w:ind w:firstLine="561"/>
        <w:jc w:val="left"/>
        <w:textAlignment w:val="auto"/>
        <w:rPr>
          <w:rFonts w:hint="default"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对策措施：在装载机、挖掘机驾驶室内配备灭火器，并定期检查维护。</w:t>
      </w:r>
    </w:p>
    <w:p>
      <w:pPr>
        <w:pStyle w:val="47"/>
        <w:bidi w:val="0"/>
        <w:rPr>
          <w:rFonts w:hint="eastAsia"/>
        </w:rPr>
      </w:pPr>
      <w:bookmarkStart w:id="444" w:name="_Toc217735971"/>
      <w:bookmarkStart w:id="445" w:name="_Toc19355"/>
      <w:bookmarkStart w:id="446" w:name="_Toc102829740"/>
      <w:bookmarkStart w:id="447" w:name="_Toc12162"/>
      <w:r>
        <w:rPr>
          <w:rFonts w:hint="eastAsia"/>
        </w:rPr>
        <w:t>4.4.</w:t>
      </w:r>
      <w:r>
        <w:rPr>
          <w:rFonts w:hint="eastAsia"/>
          <w:lang w:val="en-US" w:eastAsia="zh-CN"/>
        </w:rPr>
        <w:t>2</w:t>
      </w:r>
      <w:r>
        <w:rPr>
          <w:rFonts w:hint="eastAsia"/>
        </w:rPr>
        <w:t>.</w:t>
      </w:r>
      <w:r>
        <w:rPr>
          <w:rFonts w:hint="eastAsia"/>
          <w:lang w:val="en-US" w:eastAsia="zh-CN"/>
        </w:rPr>
        <w:t>4</w:t>
      </w:r>
      <w:r>
        <w:rPr>
          <w:rFonts w:hint="eastAsia"/>
        </w:rPr>
        <w:t>单元小结</w:t>
      </w:r>
      <w:bookmarkEnd w:id="444"/>
      <w:bookmarkEnd w:id="445"/>
      <w:bookmarkEnd w:id="446"/>
      <w:bookmarkEnd w:id="447"/>
    </w:p>
    <w:p>
      <w:pPr>
        <w:wordWrap/>
        <w:topLinePunct w:val="0"/>
        <w:autoSpaceDE w:val="0"/>
        <w:autoSpaceDN w:val="0"/>
        <w:bidi w:val="0"/>
        <w:adjustRightInd w:val="0"/>
        <w:spacing w:line="500" w:lineRule="exact"/>
        <w:ind w:firstLine="560" w:firstLineChars="200"/>
        <w:textAlignment w:val="auto"/>
        <w:rPr>
          <w:rFonts w:hint="eastAsia" w:ascii="宋体" w:hAnsi="宋体" w:eastAsia="宋体" w:cs="宋体"/>
          <w:color w:val="auto"/>
          <w:kern w:val="0"/>
          <w:sz w:val="28"/>
          <w:szCs w:val="28"/>
          <w:lang w:val="zh-CN"/>
        </w:rPr>
      </w:pPr>
      <w:r>
        <w:rPr>
          <w:rFonts w:hint="eastAsia" w:ascii="宋体" w:hAnsi="宋体" w:eastAsia="宋体" w:cs="宋体"/>
          <w:color w:val="auto"/>
          <w:kern w:val="0"/>
          <w:sz w:val="28"/>
          <w:szCs w:val="28"/>
          <w:lang w:val="zh-CN"/>
        </w:rPr>
        <w:t>通过对现场检查，矿山采用挖掘机等机械化进行铲装，自卸汽车运输，符合《金属非金属矿山安全规程》GB16423-2020的规定，铲装运输能满足安全生产的要求。</w:t>
      </w:r>
    </w:p>
    <w:p>
      <w:pPr>
        <w:pStyle w:val="4"/>
        <w:bidi w:val="0"/>
        <w:rPr>
          <w:rFonts w:hint="eastAsia" w:ascii="宋体" w:hAnsi="宋体" w:eastAsia="宋体" w:cs="Courier New"/>
          <w:color w:val="auto"/>
          <w:szCs w:val="28"/>
          <w:lang w:eastAsia="zh-CN" w:bidi="ar-SA"/>
        </w:rPr>
      </w:pPr>
      <w:bookmarkStart w:id="448" w:name="_Toc10504"/>
      <w:bookmarkStart w:id="449" w:name="_Toc29089"/>
      <w:bookmarkStart w:id="450" w:name="_Toc465112974"/>
      <w:bookmarkStart w:id="451" w:name="_Toc467792796"/>
      <w:bookmarkStart w:id="452" w:name="_Toc502865200"/>
      <w:bookmarkStart w:id="453" w:name="_Toc5582"/>
      <w:bookmarkStart w:id="454" w:name="_Toc10805"/>
      <w:bookmarkStart w:id="455" w:name="_Toc465112988"/>
      <w:bookmarkStart w:id="456" w:name="_Toc502865212"/>
      <w:bookmarkStart w:id="457" w:name="_Toc467792812"/>
      <w:r>
        <w:rPr>
          <w:rFonts w:hint="eastAsia"/>
          <w:lang w:eastAsia="zh-CN"/>
        </w:rPr>
        <w:t>4.5采场防排水系统</w:t>
      </w:r>
      <w:bookmarkEnd w:id="448"/>
      <w:bookmarkEnd w:id="449"/>
      <w:bookmarkEnd w:id="450"/>
      <w:bookmarkEnd w:id="451"/>
      <w:bookmarkEnd w:id="452"/>
      <w:r>
        <w:rPr>
          <w:rFonts w:hint="eastAsia"/>
          <w:lang w:eastAsia="zh-CN"/>
        </w:rPr>
        <w:t>单元</w:t>
      </w:r>
      <w:bookmarkEnd w:id="453"/>
    </w:p>
    <w:p>
      <w:pPr>
        <w:pStyle w:val="46"/>
        <w:bidi w:val="0"/>
        <w:rPr>
          <w:rFonts w:hint="eastAsia" w:ascii="宋体" w:hAnsi="宋体" w:eastAsia="宋体"/>
          <w:bCs/>
          <w:color w:val="auto"/>
        </w:rPr>
      </w:pPr>
      <w:bookmarkStart w:id="458" w:name="_Toc502865201"/>
      <w:bookmarkStart w:id="459" w:name="_Toc2160"/>
      <w:bookmarkStart w:id="460" w:name="_Toc2084"/>
      <w:bookmarkStart w:id="461" w:name="_Toc467792797"/>
      <w:bookmarkStart w:id="462" w:name="_Toc438635214"/>
      <w:bookmarkStart w:id="463" w:name="_Toc102829742"/>
      <w:bookmarkStart w:id="464" w:name="_Toc26290"/>
      <w:r>
        <w:rPr>
          <w:rFonts w:hint="eastAsia"/>
        </w:rPr>
        <w:t>4.5.1采场防排水安全检查表</w:t>
      </w:r>
      <w:bookmarkEnd w:id="458"/>
      <w:bookmarkEnd w:id="459"/>
      <w:bookmarkEnd w:id="460"/>
      <w:bookmarkEnd w:id="461"/>
      <w:bookmarkEnd w:id="462"/>
      <w:bookmarkEnd w:id="463"/>
      <w:bookmarkEnd w:id="464"/>
    </w:p>
    <w:p>
      <w:pPr>
        <w:wordWrap/>
        <w:topLinePunct w:val="0"/>
        <w:bidi w:val="0"/>
        <w:spacing w:line="500" w:lineRule="exact"/>
        <w:ind w:firstLine="560" w:firstLineChars="200"/>
        <w:textAlignment w:val="auto"/>
        <w:rPr>
          <w:rFonts w:hint="eastAsia" w:ascii="宋体" w:hAnsi="宋体" w:eastAsia="宋体" w:cs="宋体"/>
          <w:color w:val="auto"/>
          <w:kern w:val="0"/>
          <w:sz w:val="28"/>
          <w:szCs w:val="28"/>
          <w:lang w:val="zh-CN"/>
        </w:rPr>
      </w:pPr>
      <w:r>
        <w:rPr>
          <w:rFonts w:hint="eastAsia" w:ascii="宋体" w:hAnsi="宋体" w:eastAsia="宋体" w:cs="宋体"/>
          <w:color w:val="auto"/>
          <w:kern w:val="0"/>
          <w:sz w:val="28"/>
          <w:szCs w:val="28"/>
          <w:lang w:val="zh-CN"/>
        </w:rPr>
        <w:t>根据《金属非金属矿山安全规程》（GB16423-2020）中的相关条款对该矿山的采场防排水系统进行对照检查，见表4-8。</w:t>
      </w:r>
    </w:p>
    <w:p>
      <w:pPr>
        <w:keepNext w:val="0"/>
        <w:keepLines w:val="0"/>
        <w:pageBreakBefore w:val="0"/>
        <w:kinsoku/>
        <w:wordWrap/>
        <w:overflowPunct/>
        <w:topLinePunct w:val="0"/>
        <w:bidi w:val="0"/>
        <w:adjustRightInd w:val="0"/>
        <w:snapToGrid w:val="0"/>
        <w:spacing w:line="500" w:lineRule="exact"/>
        <w:ind w:firstLine="0" w:firstLineChars="0"/>
        <w:jc w:val="center"/>
        <w:textAlignment w:val="auto"/>
        <w:rPr>
          <w:rFonts w:hint="eastAsia" w:ascii="宋体" w:hAnsi="宋体"/>
          <w:b/>
          <w:bCs/>
          <w:color w:val="auto"/>
          <w:sz w:val="24"/>
        </w:rPr>
      </w:pPr>
      <w:r>
        <w:rPr>
          <w:rFonts w:ascii="宋体" w:hAnsi="宋体"/>
          <w:b/>
          <w:bCs/>
          <w:color w:val="auto"/>
          <w:sz w:val="24"/>
        </w:rPr>
        <w:t>表</w:t>
      </w:r>
      <w:r>
        <w:rPr>
          <w:rFonts w:hint="eastAsia" w:ascii="宋体" w:hAnsi="宋体"/>
          <w:b/>
          <w:bCs/>
          <w:color w:val="auto"/>
          <w:sz w:val="24"/>
        </w:rPr>
        <w:t>4</w:t>
      </w:r>
      <w:r>
        <w:rPr>
          <w:rFonts w:ascii="宋体" w:hAnsi="宋体"/>
          <w:b/>
          <w:bCs/>
          <w:color w:val="auto"/>
          <w:sz w:val="24"/>
        </w:rPr>
        <w:t>-</w:t>
      </w:r>
      <w:r>
        <w:rPr>
          <w:rFonts w:hint="eastAsia" w:ascii="宋体" w:hAnsi="宋体"/>
          <w:b/>
          <w:bCs/>
          <w:color w:val="auto"/>
          <w:sz w:val="24"/>
        </w:rPr>
        <w:t>8采场防排水系统</w:t>
      </w:r>
      <w:r>
        <w:rPr>
          <w:rFonts w:ascii="宋体" w:hAnsi="宋体"/>
          <w:b/>
          <w:bCs/>
          <w:color w:val="auto"/>
          <w:sz w:val="24"/>
        </w:rPr>
        <w:t>安全检查表</w:t>
      </w:r>
    </w:p>
    <w:tbl>
      <w:tblPr>
        <w:tblStyle w:val="35"/>
        <w:tblW w:w="4875" w:type="pct"/>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3849"/>
        <w:gridCol w:w="1890"/>
        <w:gridCol w:w="1920"/>
        <w:gridCol w:w="7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blHeader/>
        </w:trPr>
        <w:tc>
          <w:tcPr>
            <w:tcW w:w="362" w:type="pct"/>
            <w:noWrap w:val="0"/>
            <w:vAlign w:val="center"/>
          </w:tcPr>
          <w:p>
            <w:pPr>
              <w:pStyle w:val="21"/>
              <w:keepNext w:val="0"/>
              <w:keepLines w:val="0"/>
              <w:pageBreakBefore w:val="0"/>
              <w:kinsoku/>
              <w:wordWrap/>
              <w:overflowPunct/>
              <w:topLinePunct w:val="0"/>
              <w:bidi w:val="0"/>
              <w:snapToGrid w:val="0"/>
              <w:spacing w:line="240" w:lineRule="auto"/>
              <w:ind w:left="0" w:leftChars="0" w:firstLine="0" w:firstLineChars="0"/>
              <w:jc w:val="center"/>
              <w:textAlignment w:val="auto"/>
              <w:rPr>
                <w:rFonts w:hint="eastAsia" w:ascii="宋体" w:hAnsi="宋体" w:cs="宋体"/>
                <w:b/>
                <w:bCs/>
                <w:color w:val="auto"/>
                <w:szCs w:val="21"/>
              </w:rPr>
            </w:pPr>
            <w:r>
              <w:rPr>
                <w:rFonts w:hint="eastAsia" w:ascii="宋体" w:hAnsi="宋体" w:cs="宋体"/>
                <w:b/>
                <w:bCs/>
                <w:color w:val="auto"/>
                <w:szCs w:val="21"/>
              </w:rPr>
              <w:t>序号</w:t>
            </w:r>
          </w:p>
        </w:tc>
        <w:tc>
          <w:tcPr>
            <w:tcW w:w="2124" w:type="pct"/>
            <w:noWrap w:val="0"/>
            <w:vAlign w:val="center"/>
          </w:tcPr>
          <w:p>
            <w:pPr>
              <w:pStyle w:val="21"/>
              <w:keepNext w:val="0"/>
              <w:keepLines w:val="0"/>
              <w:pageBreakBefore w:val="0"/>
              <w:kinsoku/>
              <w:wordWrap/>
              <w:overflowPunct/>
              <w:topLinePunct w:val="0"/>
              <w:bidi w:val="0"/>
              <w:snapToGrid w:val="0"/>
              <w:spacing w:line="240" w:lineRule="auto"/>
              <w:ind w:firstLine="0" w:firstLineChars="0"/>
              <w:jc w:val="center"/>
              <w:textAlignment w:val="auto"/>
              <w:rPr>
                <w:rFonts w:hint="eastAsia" w:ascii="宋体" w:hAnsi="宋体" w:cs="宋体"/>
                <w:b/>
                <w:bCs/>
                <w:color w:val="auto"/>
                <w:szCs w:val="21"/>
              </w:rPr>
            </w:pPr>
            <w:r>
              <w:rPr>
                <w:rFonts w:hint="eastAsia" w:ascii="宋体" w:hAnsi="宋体" w:cs="宋体"/>
                <w:b/>
                <w:bCs/>
                <w:color w:val="auto"/>
                <w:szCs w:val="21"/>
              </w:rPr>
              <w:t>检查内容</w:t>
            </w:r>
          </w:p>
        </w:tc>
        <w:tc>
          <w:tcPr>
            <w:tcW w:w="1043" w:type="pct"/>
            <w:noWrap w:val="0"/>
            <w:vAlign w:val="center"/>
          </w:tcPr>
          <w:p>
            <w:pPr>
              <w:pStyle w:val="21"/>
              <w:keepNext w:val="0"/>
              <w:keepLines w:val="0"/>
              <w:pageBreakBefore w:val="0"/>
              <w:kinsoku/>
              <w:wordWrap/>
              <w:overflowPunct/>
              <w:topLinePunct w:val="0"/>
              <w:bidi w:val="0"/>
              <w:snapToGrid w:val="0"/>
              <w:spacing w:line="240" w:lineRule="auto"/>
              <w:ind w:firstLine="0" w:firstLineChars="0"/>
              <w:jc w:val="center"/>
              <w:textAlignment w:val="auto"/>
              <w:rPr>
                <w:rFonts w:hint="eastAsia" w:ascii="宋体" w:hAnsi="宋体" w:cs="宋体"/>
                <w:b/>
                <w:bCs/>
                <w:color w:val="auto"/>
                <w:szCs w:val="21"/>
              </w:rPr>
            </w:pPr>
            <w:r>
              <w:rPr>
                <w:rFonts w:hint="eastAsia" w:ascii="宋体" w:hAnsi="宋体" w:cs="宋体"/>
                <w:b/>
                <w:bCs/>
                <w:color w:val="auto"/>
                <w:szCs w:val="21"/>
              </w:rPr>
              <w:t>检查依据</w:t>
            </w:r>
          </w:p>
        </w:tc>
        <w:tc>
          <w:tcPr>
            <w:tcW w:w="1059" w:type="pct"/>
            <w:noWrap w:val="0"/>
            <w:vAlign w:val="center"/>
          </w:tcPr>
          <w:p>
            <w:pPr>
              <w:pStyle w:val="21"/>
              <w:keepNext w:val="0"/>
              <w:keepLines w:val="0"/>
              <w:pageBreakBefore w:val="0"/>
              <w:kinsoku/>
              <w:wordWrap/>
              <w:overflowPunct/>
              <w:topLinePunct w:val="0"/>
              <w:bidi w:val="0"/>
              <w:snapToGrid w:val="0"/>
              <w:spacing w:line="240" w:lineRule="auto"/>
              <w:ind w:firstLine="0" w:firstLineChars="0"/>
              <w:jc w:val="center"/>
              <w:textAlignment w:val="auto"/>
              <w:rPr>
                <w:rFonts w:hint="eastAsia" w:ascii="宋体" w:hAnsi="宋体" w:cs="宋体"/>
                <w:b/>
                <w:bCs/>
                <w:color w:val="auto"/>
                <w:szCs w:val="21"/>
              </w:rPr>
            </w:pPr>
            <w:r>
              <w:rPr>
                <w:rFonts w:hint="eastAsia" w:ascii="宋体" w:hAnsi="宋体" w:cs="宋体"/>
                <w:b/>
                <w:bCs/>
                <w:color w:val="auto"/>
                <w:szCs w:val="21"/>
              </w:rPr>
              <w:t>检查情况</w:t>
            </w:r>
          </w:p>
        </w:tc>
        <w:tc>
          <w:tcPr>
            <w:tcW w:w="409" w:type="pct"/>
            <w:noWrap w:val="0"/>
            <w:vAlign w:val="center"/>
          </w:tcPr>
          <w:p>
            <w:pPr>
              <w:pStyle w:val="21"/>
              <w:keepNext w:val="0"/>
              <w:keepLines w:val="0"/>
              <w:pageBreakBefore w:val="0"/>
              <w:kinsoku/>
              <w:wordWrap/>
              <w:overflowPunct/>
              <w:topLinePunct w:val="0"/>
              <w:bidi w:val="0"/>
              <w:snapToGrid w:val="0"/>
              <w:spacing w:line="240" w:lineRule="auto"/>
              <w:ind w:left="0" w:leftChars="0" w:firstLine="0" w:firstLineChars="0"/>
              <w:jc w:val="center"/>
              <w:textAlignment w:val="auto"/>
              <w:rPr>
                <w:rFonts w:hint="eastAsia" w:ascii="宋体" w:hAnsi="宋体" w:cs="宋体"/>
                <w:b/>
                <w:bCs/>
                <w:color w:val="auto"/>
                <w:szCs w:val="21"/>
              </w:rPr>
            </w:pPr>
            <w:r>
              <w:rPr>
                <w:rFonts w:hint="eastAsia" w:ascii="宋体" w:hAnsi="宋体" w:cs="宋体"/>
                <w:b/>
                <w:bCs/>
                <w:color w:val="auto"/>
                <w:szCs w:val="21"/>
              </w:rPr>
              <w:t>检查</w:t>
            </w:r>
          </w:p>
          <w:p>
            <w:pPr>
              <w:pStyle w:val="21"/>
              <w:keepNext w:val="0"/>
              <w:keepLines w:val="0"/>
              <w:pageBreakBefore w:val="0"/>
              <w:kinsoku/>
              <w:wordWrap/>
              <w:overflowPunct/>
              <w:topLinePunct w:val="0"/>
              <w:bidi w:val="0"/>
              <w:snapToGrid w:val="0"/>
              <w:spacing w:line="240" w:lineRule="auto"/>
              <w:ind w:left="0" w:leftChars="0" w:firstLine="0" w:firstLineChars="0"/>
              <w:jc w:val="center"/>
              <w:textAlignment w:val="auto"/>
              <w:rPr>
                <w:rFonts w:hint="eastAsia" w:ascii="宋体" w:hAnsi="宋体" w:cs="宋体"/>
                <w:b/>
                <w:bCs/>
                <w:color w:val="auto"/>
                <w:szCs w:val="21"/>
              </w:rPr>
            </w:pPr>
            <w:r>
              <w:rPr>
                <w:rFonts w:hint="eastAsia" w:ascii="宋体" w:hAnsi="宋体" w:cs="宋体"/>
                <w:b/>
                <w:bCs/>
                <w:color w:val="auto"/>
                <w:szCs w:val="21"/>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362" w:type="pct"/>
            <w:noWrap w:val="0"/>
            <w:vAlign w:val="center"/>
          </w:tcPr>
          <w:p>
            <w:pPr>
              <w:pStyle w:val="21"/>
              <w:keepNext w:val="0"/>
              <w:keepLines w:val="0"/>
              <w:pageBreakBefore w:val="0"/>
              <w:kinsoku/>
              <w:wordWrap/>
              <w:overflowPunct/>
              <w:topLinePunct w:val="0"/>
              <w:bidi w:val="0"/>
              <w:snapToGrid w:val="0"/>
              <w:spacing w:line="240" w:lineRule="auto"/>
              <w:ind w:left="0" w:leftChars="0" w:firstLine="0" w:firstLineChars="0"/>
              <w:jc w:val="center"/>
              <w:textAlignment w:val="auto"/>
              <w:rPr>
                <w:rFonts w:hint="eastAsia" w:ascii="宋体" w:hAnsi="宋体" w:cs="宋体"/>
                <w:color w:val="auto"/>
                <w:szCs w:val="21"/>
              </w:rPr>
            </w:pPr>
            <w:r>
              <w:rPr>
                <w:rFonts w:hint="eastAsia" w:ascii="宋体" w:hAnsi="宋体" w:cs="宋体"/>
                <w:color w:val="auto"/>
                <w:szCs w:val="21"/>
              </w:rPr>
              <w:t>1</w:t>
            </w:r>
          </w:p>
        </w:tc>
        <w:tc>
          <w:tcPr>
            <w:tcW w:w="2124" w:type="pct"/>
            <w:noWrap w:val="0"/>
            <w:vAlign w:val="center"/>
          </w:tcPr>
          <w:p>
            <w:pPr>
              <w:keepNext w:val="0"/>
              <w:keepLines w:val="0"/>
              <w:pageBreakBefore w:val="0"/>
              <w:kinsoku/>
              <w:wordWrap/>
              <w:overflowPunct/>
              <w:topLinePunct w:val="0"/>
              <w:bidi w:val="0"/>
              <w:snapToGrid w:val="0"/>
              <w:spacing w:line="240" w:lineRule="auto"/>
              <w:ind w:firstLine="0" w:firstLineChars="0"/>
              <w:jc w:val="both"/>
              <w:textAlignment w:val="auto"/>
              <w:rPr>
                <w:rFonts w:hint="eastAsia" w:ascii="宋体" w:hAnsi="宋体" w:cs="宋体"/>
                <w:color w:val="auto"/>
                <w:kern w:val="0"/>
                <w:szCs w:val="21"/>
                <w:lang w:bidi="ar"/>
              </w:rPr>
            </w:pPr>
            <w:r>
              <w:rPr>
                <w:rFonts w:hint="eastAsia" w:ascii="宋体" w:hAnsi="宋体" w:cs="宋体"/>
                <w:color w:val="auto"/>
                <w:szCs w:val="21"/>
              </w:rPr>
              <w:t>露天矿山应建立水文地质资料档案；有洪水或地下水威胁的应设置防、排水机构；水文地质条件复杂或有洪水淹没危险的应配备专职水文地质人员。</w:t>
            </w:r>
          </w:p>
        </w:tc>
        <w:tc>
          <w:tcPr>
            <w:tcW w:w="1043" w:type="pct"/>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ind w:firstLine="0" w:firstLineChars="0"/>
              <w:jc w:val="center"/>
              <w:textAlignment w:val="auto"/>
              <w:rPr>
                <w:rFonts w:hint="default" w:ascii="宋体" w:hAnsi="宋体" w:cs="宋体"/>
                <w:color w:val="auto"/>
                <w:szCs w:val="21"/>
                <w:lang w:val="en-US"/>
              </w:rPr>
            </w:pPr>
            <w:r>
              <w:rPr>
                <w:rFonts w:hint="eastAsia" w:ascii="宋体" w:hAnsi="宋体"/>
                <w:color w:val="auto"/>
                <w:szCs w:val="21"/>
              </w:rPr>
              <w:t>《金属非金属矿山安全规程》（GB16423-2020）</w:t>
            </w:r>
            <w:r>
              <w:rPr>
                <w:rFonts w:hint="eastAsia" w:ascii="宋体" w:hAnsi="宋体"/>
                <w:color w:val="auto"/>
                <w:szCs w:val="21"/>
                <w:lang w:val="en-US" w:eastAsia="zh-CN"/>
              </w:rPr>
              <w:t>5.7.1.1条</w:t>
            </w:r>
          </w:p>
        </w:tc>
        <w:tc>
          <w:tcPr>
            <w:tcW w:w="1059" w:type="pct"/>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ind w:firstLine="0" w:firstLineChars="0"/>
              <w:jc w:val="both"/>
              <w:textAlignment w:val="auto"/>
              <w:rPr>
                <w:rFonts w:hint="eastAsia" w:ascii="宋体" w:hAnsi="宋体" w:cs="宋体"/>
                <w:color w:val="auto"/>
                <w:szCs w:val="21"/>
              </w:rPr>
            </w:pPr>
            <w:r>
              <w:rPr>
                <w:rFonts w:ascii="宋体" w:hAnsi="宋体"/>
                <w:color w:val="auto"/>
                <w:szCs w:val="21"/>
              </w:rPr>
              <w:t>该矿山属于山坡露天采场</w:t>
            </w:r>
          </w:p>
        </w:tc>
        <w:tc>
          <w:tcPr>
            <w:tcW w:w="409" w:type="pct"/>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宋体" w:hAnsi="宋体" w:cs="宋体"/>
                <w:color w:val="auto"/>
                <w:szCs w:val="21"/>
              </w:rPr>
            </w:pPr>
            <w:r>
              <w:rPr>
                <w:rFonts w:hint="eastAsia" w:ascii="宋体" w:hAnsi="宋体" w:cs="宋体"/>
                <w:bCs/>
                <w:color w:val="auto"/>
                <w:kern w:val="0"/>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2" w:type="pct"/>
            <w:noWrap w:val="0"/>
            <w:vAlign w:val="center"/>
          </w:tcPr>
          <w:p>
            <w:pPr>
              <w:pStyle w:val="21"/>
              <w:keepNext w:val="0"/>
              <w:keepLines w:val="0"/>
              <w:pageBreakBefore w:val="0"/>
              <w:kinsoku/>
              <w:wordWrap/>
              <w:overflowPunct/>
              <w:topLinePunct w:val="0"/>
              <w:bidi w:val="0"/>
              <w:snapToGrid w:val="0"/>
              <w:spacing w:line="240" w:lineRule="auto"/>
              <w:ind w:left="0" w:leftChars="0" w:firstLine="0" w:firstLineChars="0"/>
              <w:jc w:val="center"/>
              <w:textAlignment w:val="auto"/>
              <w:rPr>
                <w:rFonts w:hint="eastAsia" w:ascii="宋体" w:hAnsi="宋体" w:cs="宋体"/>
                <w:color w:val="auto"/>
                <w:szCs w:val="21"/>
              </w:rPr>
            </w:pPr>
            <w:r>
              <w:rPr>
                <w:rFonts w:hint="eastAsia" w:ascii="宋体" w:hAnsi="宋体" w:cs="宋体"/>
                <w:color w:val="auto"/>
                <w:szCs w:val="21"/>
              </w:rPr>
              <w:t>2</w:t>
            </w:r>
          </w:p>
        </w:tc>
        <w:tc>
          <w:tcPr>
            <w:tcW w:w="2124" w:type="pct"/>
            <w:noWrap w:val="0"/>
            <w:vAlign w:val="center"/>
          </w:tcPr>
          <w:p>
            <w:pPr>
              <w:keepNext w:val="0"/>
              <w:keepLines w:val="0"/>
              <w:pageBreakBefore w:val="0"/>
              <w:kinsoku/>
              <w:wordWrap/>
              <w:overflowPunct/>
              <w:topLinePunct w:val="0"/>
              <w:bidi w:val="0"/>
              <w:snapToGrid w:val="0"/>
              <w:spacing w:line="240" w:lineRule="auto"/>
              <w:ind w:firstLine="0" w:firstLineChars="0"/>
              <w:jc w:val="both"/>
              <w:textAlignment w:val="auto"/>
              <w:rPr>
                <w:rFonts w:hint="eastAsia" w:ascii="宋体" w:hAnsi="宋体" w:cs="宋体"/>
                <w:color w:val="auto"/>
                <w:kern w:val="0"/>
                <w:szCs w:val="21"/>
                <w:lang w:bidi="ar"/>
              </w:rPr>
            </w:pPr>
            <w:r>
              <w:rPr>
                <w:rFonts w:hint="eastAsia" w:ascii="宋体" w:hAnsi="宋体" w:cs="宋体"/>
                <w:color w:val="auto"/>
                <w:szCs w:val="21"/>
              </w:rPr>
              <w:t>露天采场的总出入沟口、平硐口、排水口和工业场地应不受洪水威胁。</w:t>
            </w:r>
          </w:p>
        </w:tc>
        <w:tc>
          <w:tcPr>
            <w:tcW w:w="1043" w:type="pct"/>
            <w:noWrap w:val="0"/>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宋体" w:hAnsi="宋体" w:eastAsia="宋体" w:cs="宋体"/>
                <w:color w:val="auto"/>
                <w:szCs w:val="21"/>
                <w:lang w:val="en-US" w:eastAsia="zh-CN"/>
              </w:rPr>
            </w:pPr>
            <w:r>
              <w:rPr>
                <w:rFonts w:hint="eastAsia" w:ascii="宋体" w:hAnsi="宋体"/>
                <w:color w:val="auto"/>
                <w:szCs w:val="21"/>
              </w:rPr>
              <w:t>《金属非金属矿山安全规程》（GB16423-2020）</w:t>
            </w:r>
            <w:r>
              <w:rPr>
                <w:rFonts w:hint="eastAsia" w:ascii="宋体" w:hAnsi="宋体"/>
                <w:color w:val="auto"/>
                <w:szCs w:val="21"/>
                <w:lang w:val="en-US" w:eastAsia="zh-CN"/>
              </w:rPr>
              <w:t>5.7.1.2条</w:t>
            </w:r>
          </w:p>
        </w:tc>
        <w:tc>
          <w:tcPr>
            <w:tcW w:w="1059" w:type="pct"/>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ind w:firstLine="0" w:firstLineChars="0"/>
              <w:jc w:val="both"/>
              <w:textAlignment w:val="auto"/>
              <w:rPr>
                <w:rFonts w:hint="eastAsia" w:ascii="宋体" w:hAnsi="宋体" w:cs="宋体"/>
                <w:color w:val="auto"/>
                <w:kern w:val="0"/>
                <w:szCs w:val="21"/>
                <w:lang w:bidi="ar"/>
              </w:rPr>
            </w:pPr>
            <w:r>
              <w:rPr>
                <w:rFonts w:hint="eastAsia" w:ascii="宋体" w:hAnsi="宋体" w:cs="宋体"/>
                <w:color w:val="auto"/>
                <w:szCs w:val="21"/>
              </w:rPr>
              <w:t>矿山地形有利于地表水自然排泄。</w:t>
            </w:r>
          </w:p>
        </w:tc>
        <w:tc>
          <w:tcPr>
            <w:tcW w:w="409" w:type="pct"/>
            <w:noWrap w:val="0"/>
            <w:vAlign w:val="center"/>
          </w:tcPr>
          <w:p>
            <w:pPr>
              <w:keepNext w:val="0"/>
              <w:keepLines w:val="0"/>
              <w:pageBreakBefore w:val="0"/>
              <w:kinsoku/>
              <w:wordWrap/>
              <w:overflowPunct/>
              <w:topLinePunct w:val="0"/>
              <w:autoSpaceDE w:val="0"/>
              <w:autoSpaceDN w:val="0"/>
              <w:bidi w:val="0"/>
              <w:adjustRightInd w:val="0"/>
              <w:snapToGrid w:val="0"/>
              <w:spacing w:line="240" w:lineRule="auto"/>
              <w:ind w:firstLine="0" w:firstLineChars="0"/>
              <w:jc w:val="center"/>
              <w:textAlignment w:val="auto"/>
              <w:rPr>
                <w:rFonts w:hint="eastAsia" w:ascii="宋体" w:hAnsi="宋体" w:cs="宋体"/>
                <w:color w:val="auto"/>
                <w:szCs w:val="21"/>
              </w:rPr>
            </w:pPr>
            <w:r>
              <w:rPr>
                <w:rFonts w:hint="eastAsia" w:ascii="宋体" w:hAnsi="宋体" w:cs="宋体"/>
                <w:bCs/>
                <w:color w:val="auto"/>
                <w:kern w:val="0"/>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362" w:type="pct"/>
            <w:noWrap w:val="0"/>
            <w:vAlign w:val="center"/>
          </w:tcPr>
          <w:p>
            <w:pPr>
              <w:keepNext w:val="0"/>
              <w:keepLines w:val="0"/>
              <w:pageBreakBefore w:val="0"/>
              <w:kinsoku/>
              <w:wordWrap/>
              <w:overflowPunct/>
              <w:topLinePunct w:val="0"/>
              <w:bidi w:val="0"/>
              <w:spacing w:line="240" w:lineRule="auto"/>
              <w:ind w:firstLine="0" w:firstLineChars="0"/>
              <w:jc w:val="center"/>
              <w:textAlignment w:val="auto"/>
              <w:rPr>
                <w:rFonts w:hint="eastAsia" w:ascii="宋体" w:hAnsi="宋体" w:eastAsia="宋体" w:cs="宋体"/>
                <w:color w:val="auto"/>
                <w:szCs w:val="21"/>
                <w:lang w:eastAsia="zh-CN"/>
              </w:rPr>
            </w:pPr>
            <w:r>
              <w:rPr>
                <w:rFonts w:hint="eastAsia" w:ascii="宋体" w:hAnsi="宋体" w:cs="宋体"/>
                <w:color w:val="auto"/>
                <w:szCs w:val="21"/>
                <w:lang w:val="en-US" w:eastAsia="zh-CN"/>
              </w:rPr>
              <w:t>3</w:t>
            </w:r>
          </w:p>
        </w:tc>
        <w:tc>
          <w:tcPr>
            <w:tcW w:w="2124" w:type="pct"/>
            <w:noWrap w:val="0"/>
            <w:vAlign w:val="center"/>
          </w:tcPr>
          <w:p>
            <w:pPr>
              <w:keepNext w:val="0"/>
              <w:keepLines w:val="0"/>
              <w:pageBreakBefore w:val="0"/>
              <w:widowControl/>
              <w:kinsoku/>
              <w:wordWrap/>
              <w:overflowPunct/>
              <w:topLinePunct w:val="0"/>
              <w:bidi w:val="0"/>
              <w:spacing w:line="240" w:lineRule="auto"/>
              <w:ind w:firstLine="0" w:firstLineChars="0"/>
              <w:jc w:val="both"/>
              <w:textAlignment w:val="auto"/>
              <w:outlineLvl w:val="4"/>
              <w:rPr>
                <w:rFonts w:hint="eastAsia" w:ascii="宋体" w:hAnsi="宋体" w:cs="宋体"/>
                <w:color w:val="auto"/>
                <w:szCs w:val="21"/>
              </w:rPr>
            </w:pPr>
            <w:r>
              <w:rPr>
                <w:rFonts w:hint="eastAsia" w:ascii="宋体" w:hAnsi="宋体" w:cs="宋体"/>
                <w:color w:val="auto"/>
                <w:szCs w:val="21"/>
              </w:rPr>
              <w:t>露天矿山应采取下列措施保证采场安全：———在采场边坡台阶设置排水沟；———地下水影响露天采场的安全生产时，应采取疏干等防治措施。</w:t>
            </w:r>
          </w:p>
        </w:tc>
        <w:tc>
          <w:tcPr>
            <w:tcW w:w="1043" w:type="pct"/>
            <w:noWrap w:val="0"/>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宋体" w:hAnsi="宋体" w:eastAsia="宋体" w:cs="宋体"/>
                <w:color w:val="auto"/>
                <w:szCs w:val="21"/>
                <w:lang w:val="en-US" w:eastAsia="zh-CN"/>
              </w:rPr>
            </w:pPr>
            <w:r>
              <w:rPr>
                <w:rFonts w:hint="eastAsia" w:ascii="宋体" w:hAnsi="宋体"/>
                <w:color w:val="auto"/>
                <w:szCs w:val="21"/>
              </w:rPr>
              <w:t>《金属非金属矿山安全规程》（GB16423-2020）</w:t>
            </w:r>
            <w:r>
              <w:rPr>
                <w:rFonts w:hint="eastAsia" w:ascii="宋体" w:hAnsi="宋体"/>
                <w:color w:val="auto"/>
                <w:szCs w:val="21"/>
                <w:lang w:val="en-US" w:eastAsia="zh-CN"/>
              </w:rPr>
              <w:t>5.7.1.3条</w:t>
            </w:r>
          </w:p>
        </w:tc>
        <w:tc>
          <w:tcPr>
            <w:tcW w:w="1059" w:type="pct"/>
            <w:noWrap w:val="0"/>
            <w:vAlign w:val="center"/>
          </w:tcPr>
          <w:p>
            <w:pPr>
              <w:keepNext w:val="0"/>
              <w:keepLines w:val="0"/>
              <w:pageBreakBefore w:val="0"/>
              <w:kinsoku/>
              <w:wordWrap/>
              <w:overflowPunct/>
              <w:topLinePunct w:val="0"/>
              <w:bidi w:val="0"/>
              <w:spacing w:line="240" w:lineRule="auto"/>
              <w:ind w:firstLine="0" w:firstLineChars="0"/>
              <w:jc w:val="both"/>
              <w:textAlignment w:val="auto"/>
              <w:rPr>
                <w:rFonts w:ascii="宋体" w:hAnsi="宋体" w:cs="宋体"/>
                <w:color w:val="auto"/>
                <w:szCs w:val="21"/>
              </w:rPr>
            </w:pPr>
            <w:r>
              <w:rPr>
                <w:rFonts w:hint="eastAsia"/>
                <w:bCs/>
                <w:szCs w:val="21"/>
              </w:rPr>
              <w:t>在矿山开采境界外设置</w:t>
            </w:r>
            <w:r>
              <w:rPr>
                <w:rFonts w:hint="eastAsia"/>
                <w:bCs/>
                <w:szCs w:val="21"/>
                <w:lang w:val="en-US" w:eastAsia="zh-CN"/>
              </w:rPr>
              <w:t>土渠</w:t>
            </w:r>
            <w:r>
              <w:rPr>
                <w:rFonts w:hint="eastAsia"/>
                <w:bCs/>
                <w:szCs w:val="21"/>
              </w:rPr>
              <w:t>截</w:t>
            </w:r>
            <w:r>
              <w:rPr>
                <w:rFonts w:hint="eastAsia"/>
                <w:bCs/>
                <w:szCs w:val="21"/>
                <w:lang w:val="en-US" w:eastAsia="zh-CN"/>
              </w:rPr>
              <w:t>水</w:t>
            </w:r>
            <w:r>
              <w:rPr>
                <w:rFonts w:hint="eastAsia"/>
                <w:bCs/>
                <w:szCs w:val="21"/>
              </w:rPr>
              <w:t>沟</w:t>
            </w:r>
            <w:r>
              <w:rPr>
                <w:rFonts w:hint="eastAsia"/>
                <w:bCs/>
                <w:szCs w:val="21"/>
                <w:lang w:eastAsia="zh-CN"/>
              </w:rPr>
              <w:t>，</w:t>
            </w:r>
            <w:r>
              <w:rPr>
                <w:rFonts w:hint="eastAsia"/>
                <w:bCs/>
                <w:szCs w:val="21"/>
                <w:lang w:val="en-US" w:eastAsia="zh-CN"/>
              </w:rPr>
              <w:t>但未在平台内侧修建平台排水沟</w:t>
            </w:r>
            <w:r>
              <w:rPr>
                <w:rFonts w:hint="eastAsia"/>
                <w:bCs/>
                <w:szCs w:val="21"/>
              </w:rPr>
              <w:t>。</w:t>
            </w:r>
          </w:p>
        </w:tc>
        <w:tc>
          <w:tcPr>
            <w:tcW w:w="409" w:type="pct"/>
            <w:noWrap w:val="0"/>
            <w:vAlign w:val="center"/>
          </w:tcPr>
          <w:p>
            <w:pPr>
              <w:keepNext w:val="0"/>
              <w:keepLines w:val="0"/>
              <w:pageBreakBefore w:val="0"/>
              <w:kinsoku/>
              <w:wordWrap/>
              <w:overflowPunct/>
              <w:topLinePunct w:val="0"/>
              <w:bidi w:val="0"/>
              <w:spacing w:line="240" w:lineRule="auto"/>
              <w:ind w:firstLine="0" w:firstLineChars="0"/>
              <w:jc w:val="center"/>
              <w:textAlignment w:val="auto"/>
              <w:rPr>
                <w:rFonts w:hint="eastAsia" w:ascii="宋体" w:hAnsi="宋体" w:cs="宋体"/>
                <w:color w:val="auto"/>
                <w:szCs w:val="21"/>
              </w:rPr>
            </w:pPr>
            <w:r>
              <w:rPr>
                <w:rFonts w:hint="eastAsia" w:ascii="宋体" w:hAnsi="宋体" w:cs="宋体"/>
                <w:bCs/>
                <w:color w:val="auto"/>
                <w:kern w:val="0"/>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9" w:hRule="atLeast"/>
        </w:trPr>
        <w:tc>
          <w:tcPr>
            <w:tcW w:w="362" w:type="pct"/>
            <w:noWrap w:val="0"/>
            <w:vAlign w:val="center"/>
          </w:tcPr>
          <w:p>
            <w:pPr>
              <w:keepNext w:val="0"/>
              <w:keepLines w:val="0"/>
              <w:pageBreakBefore w:val="0"/>
              <w:kinsoku/>
              <w:wordWrap/>
              <w:overflowPunct/>
              <w:topLinePunct w:val="0"/>
              <w:bidi w:val="0"/>
              <w:spacing w:line="240" w:lineRule="auto"/>
              <w:ind w:firstLine="0" w:firstLineChars="0"/>
              <w:jc w:val="center"/>
              <w:textAlignment w:val="auto"/>
              <w:rPr>
                <w:rFonts w:hint="eastAsia" w:ascii="宋体" w:hAnsi="宋体" w:eastAsia="宋体" w:cs="宋体"/>
                <w:color w:val="auto"/>
                <w:szCs w:val="21"/>
                <w:lang w:eastAsia="zh-CN"/>
              </w:rPr>
            </w:pPr>
            <w:bookmarkStart w:id="465" w:name="_Toc510167453"/>
            <w:bookmarkStart w:id="466" w:name="_Toc25043"/>
            <w:bookmarkStart w:id="467" w:name="_Toc4474"/>
            <w:bookmarkStart w:id="468" w:name="_Toc467792799"/>
            <w:bookmarkStart w:id="469" w:name="_Toc502865203"/>
            <w:bookmarkStart w:id="470" w:name="_Toc438635216"/>
            <w:r>
              <w:rPr>
                <w:rFonts w:hint="eastAsia" w:ascii="宋体" w:hAnsi="宋体" w:cs="宋体"/>
                <w:color w:val="auto"/>
                <w:szCs w:val="21"/>
                <w:lang w:val="en-US" w:eastAsia="zh-CN"/>
              </w:rPr>
              <w:t>4</w:t>
            </w:r>
          </w:p>
        </w:tc>
        <w:tc>
          <w:tcPr>
            <w:tcW w:w="2124" w:type="pct"/>
            <w:noWrap w:val="0"/>
            <w:vAlign w:val="center"/>
          </w:tcPr>
          <w:p>
            <w:pPr>
              <w:keepNext w:val="0"/>
              <w:keepLines w:val="0"/>
              <w:pageBreakBefore w:val="0"/>
              <w:widowControl/>
              <w:kinsoku/>
              <w:wordWrap/>
              <w:overflowPunct/>
              <w:topLinePunct w:val="0"/>
              <w:bidi w:val="0"/>
              <w:spacing w:line="240" w:lineRule="auto"/>
              <w:ind w:firstLine="0" w:firstLineChars="0"/>
              <w:jc w:val="both"/>
              <w:textAlignment w:val="auto"/>
              <w:outlineLvl w:val="4"/>
              <w:rPr>
                <w:rFonts w:hint="eastAsia" w:ascii="宋体" w:hAnsi="宋体" w:cs="宋体"/>
                <w:color w:val="auto"/>
                <w:szCs w:val="21"/>
              </w:rPr>
            </w:pPr>
            <w:r>
              <w:rPr>
                <w:rFonts w:hint="eastAsia" w:ascii="宋体" w:hAnsi="宋体" w:cs="宋体"/>
                <w:color w:val="auto"/>
                <w:szCs w:val="21"/>
              </w:rPr>
              <w:t>露天矿山应按照下列要求建立防排水系统：———受洪水威胁的露天采场应设置地面防洪工程；———不具备自然外排条件的山坡露天矿，境界外应设截水沟排水；———凹陷露天坑应设机械排水或自流排水设施；———遇设计防洪频率的暴雨时，最低台阶淹没时间不应超过７ｄ，淹没前应撤出人员和重要设备。</w:t>
            </w:r>
          </w:p>
        </w:tc>
        <w:tc>
          <w:tcPr>
            <w:tcW w:w="1043" w:type="pct"/>
            <w:noWrap w:val="0"/>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宋体" w:hAnsi="宋体" w:eastAsia="宋体" w:cs="宋体"/>
                <w:color w:val="auto"/>
                <w:szCs w:val="21"/>
                <w:lang w:val="en-US" w:eastAsia="zh-CN"/>
              </w:rPr>
            </w:pPr>
            <w:r>
              <w:rPr>
                <w:rFonts w:hint="eastAsia" w:ascii="宋体" w:hAnsi="宋体"/>
                <w:color w:val="auto"/>
                <w:szCs w:val="21"/>
              </w:rPr>
              <w:t>《金属非金属矿山安全规程》（GB16423-2020）</w:t>
            </w:r>
            <w:r>
              <w:rPr>
                <w:rFonts w:hint="eastAsia" w:ascii="宋体" w:hAnsi="宋体"/>
                <w:color w:val="auto"/>
                <w:szCs w:val="21"/>
                <w:lang w:val="en-US" w:eastAsia="zh-CN"/>
              </w:rPr>
              <w:t>5.7.1.4条</w:t>
            </w:r>
          </w:p>
        </w:tc>
        <w:tc>
          <w:tcPr>
            <w:tcW w:w="1059" w:type="pct"/>
            <w:noWrap w:val="0"/>
            <w:vAlign w:val="center"/>
          </w:tcPr>
          <w:p>
            <w:pPr>
              <w:keepNext w:val="0"/>
              <w:keepLines w:val="0"/>
              <w:pageBreakBefore w:val="0"/>
              <w:kinsoku/>
              <w:wordWrap/>
              <w:overflowPunct/>
              <w:topLinePunct w:val="0"/>
              <w:bidi w:val="0"/>
              <w:spacing w:line="240" w:lineRule="auto"/>
              <w:ind w:firstLine="0" w:firstLineChars="0"/>
              <w:jc w:val="both"/>
              <w:textAlignment w:val="auto"/>
              <w:rPr>
                <w:rFonts w:hint="eastAsia" w:ascii="宋体" w:hAnsi="宋体" w:eastAsia="宋体" w:cs="宋体"/>
                <w:bCs/>
                <w:color w:val="auto"/>
                <w:kern w:val="0"/>
                <w:szCs w:val="21"/>
                <w:lang w:eastAsia="zh-CN"/>
              </w:rPr>
            </w:pPr>
            <w:r>
              <w:rPr>
                <w:rFonts w:ascii="宋体" w:hAnsi="宋体"/>
                <w:color w:val="auto"/>
                <w:szCs w:val="21"/>
              </w:rPr>
              <w:t>该矿山属于山坡露天采场，地形有利于自然排水</w:t>
            </w:r>
            <w:r>
              <w:rPr>
                <w:rFonts w:hint="eastAsia" w:ascii="宋体" w:hAnsi="宋体"/>
                <w:color w:val="auto"/>
                <w:szCs w:val="21"/>
                <w:lang w:eastAsia="zh-CN"/>
              </w:rPr>
              <w:t>。</w:t>
            </w:r>
          </w:p>
        </w:tc>
        <w:tc>
          <w:tcPr>
            <w:tcW w:w="409" w:type="pct"/>
            <w:noWrap w:val="0"/>
            <w:vAlign w:val="center"/>
          </w:tcPr>
          <w:p>
            <w:pPr>
              <w:keepNext w:val="0"/>
              <w:keepLines w:val="0"/>
              <w:pageBreakBefore w:val="0"/>
              <w:kinsoku/>
              <w:wordWrap/>
              <w:overflowPunct/>
              <w:topLinePunct w:val="0"/>
              <w:bidi w:val="0"/>
              <w:spacing w:line="240" w:lineRule="auto"/>
              <w:ind w:firstLine="0" w:firstLineChars="0"/>
              <w:jc w:val="center"/>
              <w:textAlignment w:val="auto"/>
              <w:rPr>
                <w:rFonts w:hint="eastAsia" w:ascii="宋体" w:hAnsi="宋体" w:cs="宋体"/>
                <w:bCs/>
                <w:color w:val="auto"/>
                <w:kern w:val="0"/>
                <w:szCs w:val="21"/>
              </w:rPr>
            </w:pPr>
            <w:r>
              <w:rPr>
                <w:rFonts w:hint="eastAsia" w:ascii="宋体" w:hAnsi="宋体" w:cs="宋体"/>
                <w:bCs/>
                <w:color w:val="auto"/>
                <w:kern w:val="0"/>
                <w:szCs w:val="21"/>
              </w:rPr>
              <w:t>符合</w:t>
            </w:r>
          </w:p>
        </w:tc>
      </w:tr>
    </w:tbl>
    <w:p>
      <w:pPr>
        <w:pStyle w:val="5"/>
        <w:bidi w:val="0"/>
        <w:rPr>
          <w:rFonts w:hint="eastAsia" w:ascii="宋体" w:hAnsi="宋体"/>
          <w:b/>
          <w:bCs/>
          <w:color w:val="auto"/>
          <w:szCs w:val="28"/>
        </w:rPr>
      </w:pPr>
      <w:bookmarkStart w:id="471" w:name="_Toc102829743"/>
      <w:bookmarkStart w:id="472" w:name="_Toc12445"/>
      <w:r>
        <w:rPr>
          <w:rFonts w:hint="eastAsia"/>
        </w:rPr>
        <w:t>4.5.2现状与设计吻合性分析</w:t>
      </w:r>
      <w:bookmarkEnd w:id="465"/>
      <w:bookmarkEnd w:id="471"/>
      <w:bookmarkEnd w:id="472"/>
    </w:p>
    <w:p>
      <w:pPr>
        <w:wordWrap/>
        <w:topLinePunct w:val="0"/>
        <w:bidi w:val="0"/>
        <w:spacing w:line="500" w:lineRule="exact"/>
        <w:ind w:firstLine="560" w:firstLineChars="200"/>
        <w:textAlignment w:val="auto"/>
        <w:outlineLvl w:val="9"/>
        <w:rPr>
          <w:rFonts w:hint="eastAsia" w:ascii="宋体" w:hAnsi="宋体" w:cs="宋体"/>
          <w:b/>
          <w:color w:val="auto"/>
          <w:sz w:val="28"/>
          <w:szCs w:val="28"/>
        </w:rPr>
      </w:pPr>
      <w:r>
        <w:rPr>
          <w:rFonts w:hint="eastAsia" w:ascii="宋体" w:hAnsi="宋体" w:cs="宋体"/>
          <w:b/>
          <w:color w:val="auto"/>
          <w:sz w:val="28"/>
          <w:szCs w:val="28"/>
        </w:rPr>
        <w:t>1．设计情况</w:t>
      </w:r>
    </w:p>
    <w:p>
      <w:pPr>
        <w:pStyle w:val="10"/>
        <w:spacing w:line="500" w:lineRule="exact"/>
        <w:ind w:firstLine="560" w:firstLineChars="200"/>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矿山属于山坡露天矿，露天采场底部标高1845m，高于当地侵蚀基准面以上，大气降水可沿地形坡度自然排泄。</w:t>
      </w:r>
    </w:p>
    <w:p>
      <w:pPr>
        <w:pStyle w:val="10"/>
        <w:spacing w:line="500" w:lineRule="exact"/>
        <w:ind w:firstLine="560" w:firstLineChars="200"/>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在矿山开采境界外设置截洪沟，截洪沟的尺寸为0.8m×0.6m，截洪沟总长820m，利用水流重力自然排出采场。</w:t>
      </w:r>
    </w:p>
    <w:p>
      <w:pPr>
        <w:pStyle w:val="10"/>
        <w:spacing w:line="500" w:lineRule="exact"/>
        <w:ind w:firstLine="560" w:firstLineChars="200"/>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在采场清扫平台及矿区运输道路设置排水沟，截水沟的净断面尺寸为0.5m×0.3m，设置1%坡度，利用水流重力自然排出采场、矿区公路水流顺排水沟沿山坡下流至山脚。</w:t>
      </w:r>
    </w:p>
    <w:p>
      <w:pPr>
        <w:pStyle w:val="10"/>
        <w:spacing w:line="500" w:lineRule="exact"/>
        <w:ind w:firstLine="560" w:firstLineChars="200"/>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沿着沉砂池顶部设置截洪沟，平均沟宽0.7m，沟深0.6m，沉砂池上部汇集的雨水通过截洪沟排出场外。</w:t>
      </w:r>
    </w:p>
    <w:p>
      <w:pPr>
        <w:spacing w:line="500" w:lineRule="exact"/>
        <w:ind w:firstLine="560" w:firstLineChars="200"/>
        <w:rPr>
          <w:rFonts w:hint="eastAsia" w:ascii="宋体" w:hAnsi="宋体" w:eastAsia="宋体" w:cs="宋体"/>
          <w:b/>
          <w:bCs/>
          <w:sz w:val="28"/>
          <w:szCs w:val="24"/>
          <w:lang w:val="en-US" w:eastAsia="zh-CN"/>
        </w:rPr>
      </w:pPr>
      <w:r>
        <w:rPr>
          <w:rFonts w:hint="eastAsia" w:ascii="宋体" w:hAnsi="宋体" w:eastAsia="宋体" w:cs="宋体"/>
          <w:b/>
          <w:bCs/>
          <w:sz w:val="28"/>
          <w:szCs w:val="24"/>
          <w:lang w:val="en-US" w:eastAsia="zh-CN"/>
        </w:rPr>
        <w:t>2.现状情况</w:t>
      </w:r>
    </w:p>
    <w:p>
      <w:pPr>
        <w:spacing w:line="500" w:lineRule="exact"/>
        <w:ind w:firstLine="560" w:firstLineChars="200"/>
        <w:rPr>
          <w:rFonts w:hint="eastAsia" w:ascii="宋体" w:hAnsi="宋体" w:eastAsia="宋体" w:cs="宋体"/>
          <w:sz w:val="28"/>
          <w:szCs w:val="24"/>
        </w:rPr>
      </w:pPr>
      <w:r>
        <w:rPr>
          <w:rFonts w:hint="eastAsia" w:ascii="宋体" w:hAnsi="宋体" w:eastAsia="宋体" w:cs="宋体"/>
          <w:sz w:val="28"/>
          <w:szCs w:val="24"/>
          <w:lang w:val="en-US" w:eastAsia="zh-CN"/>
        </w:rPr>
        <w:t>现场勘查，</w:t>
      </w:r>
      <w:r>
        <w:rPr>
          <w:rFonts w:hint="eastAsia" w:ascii="宋体" w:hAnsi="宋体" w:eastAsia="宋体" w:cs="宋体"/>
          <w:sz w:val="28"/>
          <w:szCs w:val="24"/>
        </w:rPr>
        <w:t>矿山为山坡型露天矿，在矿山开采境界外设置</w:t>
      </w:r>
      <w:r>
        <w:rPr>
          <w:rFonts w:hint="eastAsia" w:ascii="宋体" w:hAnsi="宋体" w:eastAsia="宋体" w:cs="宋体"/>
          <w:sz w:val="28"/>
          <w:szCs w:val="24"/>
          <w:lang w:val="en-US" w:eastAsia="zh-CN"/>
        </w:rPr>
        <w:t>土渠</w:t>
      </w:r>
      <w:r>
        <w:rPr>
          <w:rFonts w:hint="eastAsia" w:ascii="宋体" w:hAnsi="宋体" w:eastAsia="宋体" w:cs="宋体"/>
          <w:sz w:val="28"/>
          <w:szCs w:val="24"/>
        </w:rPr>
        <w:t>截</w:t>
      </w:r>
      <w:r>
        <w:rPr>
          <w:rFonts w:hint="eastAsia" w:ascii="宋体" w:hAnsi="宋体" w:eastAsia="宋体" w:cs="宋体"/>
          <w:sz w:val="28"/>
          <w:szCs w:val="24"/>
          <w:lang w:val="en-US" w:eastAsia="zh-CN"/>
        </w:rPr>
        <w:t>水</w:t>
      </w:r>
      <w:r>
        <w:rPr>
          <w:rFonts w:hint="eastAsia" w:ascii="宋体" w:hAnsi="宋体" w:eastAsia="宋体" w:cs="宋体"/>
          <w:sz w:val="28"/>
          <w:szCs w:val="24"/>
        </w:rPr>
        <w:t>沟，截</w:t>
      </w:r>
      <w:r>
        <w:rPr>
          <w:rFonts w:hint="eastAsia" w:ascii="宋体" w:hAnsi="宋体" w:eastAsia="宋体" w:cs="宋体"/>
          <w:sz w:val="28"/>
          <w:szCs w:val="24"/>
          <w:lang w:val="en-US" w:eastAsia="zh-CN"/>
        </w:rPr>
        <w:t>水</w:t>
      </w:r>
      <w:r>
        <w:rPr>
          <w:rFonts w:hint="eastAsia" w:ascii="宋体" w:hAnsi="宋体" w:eastAsia="宋体" w:cs="宋体"/>
          <w:sz w:val="28"/>
          <w:szCs w:val="24"/>
        </w:rPr>
        <w:t>沟的尺寸为0.8m×0.6m</w:t>
      </w:r>
      <w:r>
        <w:rPr>
          <w:rFonts w:hint="eastAsia" w:ascii="宋体" w:hAnsi="宋体" w:eastAsia="宋体" w:cs="宋体"/>
          <w:sz w:val="28"/>
          <w:szCs w:val="24"/>
          <w:lang w:eastAsia="zh-CN"/>
        </w:rPr>
        <w:t>，</w:t>
      </w:r>
      <w:r>
        <w:rPr>
          <w:rFonts w:hint="eastAsia" w:cs="Times New Roman"/>
          <w:sz w:val="28"/>
          <w:szCs w:val="24"/>
          <w:lang w:val="en-US" w:eastAsia="zh-CN"/>
        </w:rPr>
        <w:t>运矿公路内侧修建排水沟，</w:t>
      </w:r>
      <w:r>
        <w:rPr>
          <w:rFonts w:hint="eastAsia" w:ascii="宋体" w:hAnsi="宋体" w:eastAsia="宋体" w:cs="宋体"/>
          <w:sz w:val="28"/>
          <w:szCs w:val="24"/>
          <w:lang w:val="en-US" w:eastAsia="zh-CN"/>
        </w:rPr>
        <w:t>未在平台内侧修建平台排水沟</w:t>
      </w:r>
      <w:r>
        <w:rPr>
          <w:rFonts w:hint="eastAsia" w:ascii="宋体" w:hAnsi="宋体" w:eastAsia="宋体" w:cs="宋体"/>
          <w:sz w:val="28"/>
          <w:szCs w:val="24"/>
        </w:rPr>
        <w:t>。</w:t>
      </w:r>
    </w:p>
    <w:p>
      <w:pPr>
        <w:spacing w:line="500" w:lineRule="exact"/>
        <w:ind w:firstLine="560" w:firstLineChars="200"/>
        <w:rPr>
          <w:rFonts w:hint="eastAsia" w:ascii="宋体" w:hAnsi="宋体" w:eastAsia="宋体" w:cs="宋体"/>
          <w:sz w:val="28"/>
          <w:szCs w:val="24"/>
          <w:lang w:val="en-US" w:eastAsia="zh-CN"/>
        </w:rPr>
      </w:pPr>
      <w:r>
        <w:rPr>
          <w:rFonts w:hint="eastAsia" w:ascii="宋体" w:hAnsi="宋体" w:eastAsia="宋体" w:cs="宋体"/>
          <w:sz w:val="28"/>
          <w:szCs w:val="24"/>
          <w:lang w:val="en-US" w:eastAsia="zh-CN"/>
        </w:rPr>
        <w:t>在堆土区下方西侧设置了沉沙集水坑，</w:t>
      </w:r>
      <w:r>
        <w:rPr>
          <w:rFonts w:hint="eastAsia" w:ascii="宋体" w:hAnsi="宋体" w:eastAsia="宋体" w:cs="宋体"/>
          <w:color w:val="auto"/>
          <w:sz w:val="28"/>
          <w:szCs w:val="28"/>
          <w:lang w:val="en-US" w:eastAsia="zh-CN"/>
        </w:rPr>
        <w:t>在</w:t>
      </w:r>
      <w:r>
        <w:rPr>
          <w:rFonts w:hint="eastAsia" w:ascii="宋体" w:hAnsi="宋体" w:eastAsia="宋体" w:cs="宋体"/>
          <w:color w:val="auto"/>
          <w:sz w:val="28"/>
          <w:szCs w:val="28"/>
        </w:rPr>
        <w:t>集水坑</w:t>
      </w:r>
      <w:r>
        <w:rPr>
          <w:rFonts w:hint="eastAsia" w:ascii="宋体" w:hAnsi="宋体" w:eastAsia="宋体" w:cs="宋体"/>
          <w:color w:val="auto"/>
          <w:sz w:val="28"/>
          <w:szCs w:val="28"/>
          <w:lang w:val="en-US" w:eastAsia="zh-CN"/>
        </w:rPr>
        <w:t>内集水采用1台</w:t>
      </w:r>
      <w:r>
        <w:rPr>
          <w:rFonts w:hint="eastAsia" w:ascii="宋体" w:hAnsi="宋体" w:eastAsia="宋体" w:cs="宋体"/>
          <w:color w:val="auto"/>
          <w:sz w:val="28"/>
          <w:szCs w:val="28"/>
        </w:rPr>
        <w:t>排水</w:t>
      </w:r>
      <w:r>
        <w:rPr>
          <w:rFonts w:hint="eastAsia" w:ascii="宋体" w:hAnsi="宋体" w:eastAsia="宋体" w:cs="宋体"/>
          <w:color w:val="auto"/>
          <w:sz w:val="28"/>
          <w:szCs w:val="28"/>
          <w:lang w:val="en-US" w:eastAsia="zh-CN"/>
        </w:rPr>
        <w:t>泵</w:t>
      </w:r>
      <w:r>
        <w:rPr>
          <w:rFonts w:hint="eastAsia" w:ascii="宋体" w:hAnsi="宋体" w:eastAsia="宋体" w:cs="宋体"/>
          <w:color w:val="auto"/>
          <w:sz w:val="28"/>
          <w:szCs w:val="28"/>
        </w:rPr>
        <w:t>扬送至</w:t>
      </w:r>
      <w:r>
        <w:rPr>
          <w:rFonts w:hint="eastAsia" w:ascii="宋体" w:hAnsi="宋体" w:eastAsia="宋体" w:cs="宋体"/>
          <w:color w:val="auto"/>
          <w:sz w:val="28"/>
          <w:szCs w:val="28"/>
          <w:lang w:val="en-US" w:eastAsia="zh-CN"/>
        </w:rPr>
        <w:t>西侧人行道路另一侧的淤泥池中。</w:t>
      </w:r>
    </w:p>
    <w:p>
      <w:pPr>
        <w:pStyle w:val="46"/>
        <w:bidi w:val="0"/>
        <w:rPr>
          <w:rFonts w:hint="eastAsia"/>
        </w:rPr>
      </w:pPr>
      <w:bookmarkStart w:id="473" w:name="_Toc3910"/>
      <w:r>
        <w:rPr>
          <w:rFonts w:hint="eastAsia"/>
          <w:lang w:val="en-US" w:eastAsia="zh-CN"/>
        </w:rPr>
        <w:t>4.5.3</w:t>
      </w:r>
      <w:r>
        <w:rPr>
          <w:rFonts w:hint="eastAsia"/>
        </w:rPr>
        <w:t>单元存在问题及对策措施</w:t>
      </w:r>
      <w:bookmarkEnd w:id="473"/>
    </w:p>
    <w:p>
      <w:pPr>
        <w:wordWrap/>
        <w:topLinePunct w:val="0"/>
        <w:bidi w:val="0"/>
        <w:spacing w:line="500" w:lineRule="exact"/>
        <w:ind w:firstLine="561"/>
        <w:textAlignment w:val="auto"/>
        <w:rPr>
          <w:rFonts w:hint="eastAsia" w:ascii="宋体" w:hAnsi="宋体" w:cs="宋体"/>
          <w:color w:val="auto"/>
          <w:kern w:val="0"/>
          <w:sz w:val="28"/>
          <w:szCs w:val="28"/>
          <w:lang w:val="en-US" w:eastAsia="zh-CN"/>
        </w:rPr>
      </w:pPr>
      <w:r>
        <w:rPr>
          <w:rFonts w:hint="eastAsia" w:ascii="宋体" w:hAnsi="宋体" w:eastAsia="宋体" w:cs="宋体"/>
          <w:color w:val="auto"/>
          <w:kern w:val="0"/>
          <w:sz w:val="28"/>
          <w:szCs w:val="28"/>
          <w:lang w:val="zh-CN"/>
        </w:rPr>
        <w:t>存在问题：</w:t>
      </w:r>
      <w:r>
        <w:rPr>
          <w:rFonts w:hint="eastAsia" w:ascii="宋体" w:hAnsi="宋体" w:eastAsia="宋体" w:cs="宋体"/>
          <w:sz w:val="28"/>
          <w:szCs w:val="24"/>
          <w:lang w:val="en-US" w:eastAsia="zh-CN"/>
        </w:rPr>
        <w:t>未在</w:t>
      </w:r>
      <w:r>
        <w:rPr>
          <w:rFonts w:hint="eastAsia" w:ascii="宋体" w:hAnsi="宋体" w:eastAsia="宋体" w:cs="宋体"/>
          <w:color w:val="auto"/>
          <w:kern w:val="0"/>
          <w:sz w:val="28"/>
          <w:szCs w:val="28"/>
          <w:lang w:val="en-US" w:eastAsia="zh-CN"/>
        </w:rPr>
        <w:t>清扫平台</w:t>
      </w:r>
      <w:r>
        <w:rPr>
          <w:rFonts w:hint="eastAsia" w:ascii="宋体" w:hAnsi="宋体" w:eastAsia="宋体" w:cs="宋体"/>
          <w:sz w:val="28"/>
          <w:szCs w:val="24"/>
          <w:lang w:val="en-US" w:eastAsia="zh-CN"/>
        </w:rPr>
        <w:t>内侧</w:t>
      </w:r>
      <w:r>
        <w:rPr>
          <w:rFonts w:hint="eastAsia" w:ascii="宋体" w:hAnsi="宋体" w:cs="宋体"/>
          <w:color w:val="auto"/>
          <w:kern w:val="0"/>
          <w:sz w:val="28"/>
          <w:szCs w:val="28"/>
          <w:lang w:val="en-US" w:eastAsia="zh-CN"/>
        </w:rPr>
        <w:t>修建</w:t>
      </w:r>
      <w:r>
        <w:rPr>
          <w:rFonts w:hint="eastAsia" w:ascii="宋体" w:hAnsi="宋体" w:eastAsia="宋体" w:cs="宋体"/>
          <w:color w:val="auto"/>
          <w:kern w:val="0"/>
          <w:sz w:val="28"/>
          <w:szCs w:val="28"/>
          <w:lang w:val="en-US" w:eastAsia="zh-CN"/>
        </w:rPr>
        <w:t>排水沟</w:t>
      </w:r>
      <w:r>
        <w:rPr>
          <w:rFonts w:hint="eastAsia" w:ascii="宋体" w:hAnsi="宋体" w:cs="宋体"/>
          <w:color w:val="auto"/>
          <w:kern w:val="0"/>
          <w:sz w:val="28"/>
          <w:szCs w:val="28"/>
          <w:lang w:val="en-US" w:eastAsia="zh-CN"/>
        </w:rPr>
        <w:t>。</w:t>
      </w:r>
    </w:p>
    <w:p>
      <w:pPr>
        <w:wordWrap/>
        <w:topLinePunct w:val="0"/>
        <w:bidi w:val="0"/>
        <w:spacing w:line="500" w:lineRule="exact"/>
        <w:ind w:firstLine="561"/>
        <w:textAlignment w:val="auto"/>
        <w:rPr>
          <w:rFonts w:hint="default" w:ascii="宋体" w:hAnsi="宋体" w:eastAsia="宋体"/>
          <w:b/>
          <w:bCs/>
          <w:color w:val="auto"/>
          <w:sz w:val="28"/>
          <w:szCs w:val="28"/>
          <w:lang w:val="en-US" w:eastAsia="zh-CN"/>
        </w:rPr>
      </w:pPr>
      <w:r>
        <w:rPr>
          <w:rFonts w:hint="eastAsia" w:ascii="宋体" w:hAnsi="宋体" w:eastAsia="宋体" w:cs="宋体"/>
          <w:color w:val="auto"/>
          <w:kern w:val="0"/>
          <w:sz w:val="28"/>
          <w:szCs w:val="28"/>
          <w:lang w:val="zh-CN"/>
        </w:rPr>
        <w:t>对策措施：</w:t>
      </w:r>
      <w:r>
        <w:rPr>
          <w:rFonts w:hint="eastAsia" w:ascii="宋体" w:hAnsi="宋体" w:cs="宋体"/>
          <w:color w:val="auto"/>
          <w:kern w:val="2"/>
          <w:sz w:val="28"/>
          <w:szCs w:val="28"/>
          <w:lang w:val="en-US" w:eastAsia="zh-CN" w:bidi="ar-SA"/>
        </w:rPr>
        <w:t>按设计要求在</w:t>
      </w:r>
      <w:r>
        <w:rPr>
          <w:rFonts w:hint="eastAsia" w:ascii="宋体" w:hAnsi="宋体" w:eastAsia="宋体" w:cs="宋体"/>
          <w:color w:val="auto"/>
          <w:kern w:val="2"/>
          <w:sz w:val="28"/>
          <w:szCs w:val="28"/>
          <w:lang w:val="en-US" w:eastAsia="zh-CN" w:bidi="ar-SA"/>
        </w:rPr>
        <w:t>采场清扫平台</w:t>
      </w:r>
      <w:r>
        <w:rPr>
          <w:rFonts w:hint="eastAsia" w:ascii="宋体" w:hAnsi="宋体" w:cs="宋体"/>
          <w:color w:val="auto"/>
          <w:kern w:val="2"/>
          <w:sz w:val="28"/>
          <w:szCs w:val="28"/>
          <w:lang w:val="en-US" w:eastAsia="zh-CN" w:bidi="ar-SA"/>
        </w:rPr>
        <w:t>内侧修建</w:t>
      </w:r>
      <w:r>
        <w:rPr>
          <w:rFonts w:hint="eastAsia" w:ascii="宋体" w:hAnsi="宋体" w:eastAsia="宋体" w:cs="宋体"/>
          <w:color w:val="auto"/>
          <w:kern w:val="2"/>
          <w:sz w:val="28"/>
          <w:szCs w:val="28"/>
          <w:lang w:val="en-US" w:eastAsia="zh-CN" w:bidi="ar-SA"/>
        </w:rPr>
        <w:t>排水沟</w:t>
      </w:r>
      <w:r>
        <w:rPr>
          <w:rFonts w:hint="eastAsia" w:ascii="宋体" w:hAnsi="宋体" w:eastAsia="宋体" w:cs="宋体"/>
          <w:color w:val="auto"/>
          <w:kern w:val="0"/>
          <w:sz w:val="28"/>
          <w:szCs w:val="28"/>
          <w:lang w:val="en-US" w:eastAsia="zh-CN"/>
        </w:rPr>
        <w:t>。</w:t>
      </w:r>
    </w:p>
    <w:p>
      <w:pPr>
        <w:pStyle w:val="46"/>
        <w:bidi w:val="0"/>
        <w:rPr>
          <w:rFonts w:hint="eastAsia"/>
        </w:rPr>
      </w:pPr>
      <w:bookmarkStart w:id="474" w:name="_Toc102829744"/>
      <w:bookmarkStart w:id="475" w:name="_Toc10105"/>
      <w:r>
        <w:rPr>
          <w:rFonts w:hint="eastAsia"/>
        </w:rPr>
        <w:t>4.5.</w:t>
      </w:r>
      <w:bookmarkEnd w:id="466"/>
      <w:bookmarkEnd w:id="467"/>
      <w:r>
        <w:rPr>
          <w:rFonts w:hint="eastAsia"/>
          <w:lang w:val="en-US" w:eastAsia="zh-CN"/>
        </w:rPr>
        <w:t>4</w:t>
      </w:r>
      <w:r>
        <w:rPr>
          <w:rFonts w:hint="eastAsia"/>
        </w:rPr>
        <w:t>单元小结</w:t>
      </w:r>
      <w:bookmarkEnd w:id="468"/>
      <w:bookmarkEnd w:id="469"/>
      <w:bookmarkEnd w:id="470"/>
      <w:bookmarkEnd w:id="474"/>
      <w:bookmarkEnd w:id="475"/>
    </w:p>
    <w:p>
      <w:pPr>
        <w:pStyle w:val="88"/>
        <w:spacing w:line="500" w:lineRule="exact"/>
        <w:ind w:firstLine="560" w:firstLineChars="200"/>
        <w:rPr>
          <w:rFonts w:hint="eastAsia"/>
          <w:kern w:val="2"/>
          <w:sz w:val="28"/>
          <w:szCs w:val="24"/>
        </w:rPr>
      </w:pPr>
      <w:r>
        <w:rPr>
          <w:rFonts w:hint="eastAsia"/>
          <w:kern w:val="2"/>
          <w:sz w:val="28"/>
          <w:szCs w:val="24"/>
          <w:lang w:val="zh-TW"/>
        </w:rPr>
        <w:t>该矿山为山坡型露天矿，矿区内无河流穿过，</w:t>
      </w:r>
      <w:r>
        <w:rPr>
          <w:rFonts w:hint="eastAsia" w:ascii="宋体" w:hAnsi="宋体"/>
          <w:bCs/>
          <w:sz w:val="28"/>
        </w:rPr>
        <w:t>无泉水出露，</w:t>
      </w:r>
      <w:r>
        <w:rPr>
          <w:rFonts w:hint="eastAsia"/>
          <w:kern w:val="2"/>
          <w:sz w:val="28"/>
          <w:szCs w:val="24"/>
          <w:lang w:val="zh-TW"/>
        </w:rPr>
        <w:t>采场和工业场地位于当地最低侵蚀基准面以上。</w:t>
      </w:r>
      <w:r>
        <w:rPr>
          <w:rFonts w:hint="eastAsia"/>
          <w:kern w:val="2"/>
          <w:sz w:val="28"/>
          <w:szCs w:val="24"/>
        </w:rPr>
        <w:t>在矿山开采境界外设置</w:t>
      </w:r>
      <w:r>
        <w:rPr>
          <w:rFonts w:hint="eastAsia"/>
          <w:kern w:val="2"/>
          <w:sz w:val="28"/>
          <w:szCs w:val="24"/>
          <w:lang w:val="en-US" w:eastAsia="zh-CN"/>
        </w:rPr>
        <w:t>土渠</w:t>
      </w:r>
      <w:r>
        <w:rPr>
          <w:rFonts w:hint="eastAsia"/>
          <w:kern w:val="2"/>
          <w:sz w:val="28"/>
          <w:szCs w:val="24"/>
        </w:rPr>
        <w:t>截</w:t>
      </w:r>
      <w:r>
        <w:rPr>
          <w:rFonts w:hint="eastAsia"/>
          <w:kern w:val="2"/>
          <w:sz w:val="28"/>
          <w:szCs w:val="24"/>
          <w:lang w:val="en-US" w:eastAsia="zh-CN"/>
        </w:rPr>
        <w:t>水</w:t>
      </w:r>
      <w:r>
        <w:rPr>
          <w:rFonts w:hint="eastAsia"/>
          <w:kern w:val="2"/>
          <w:sz w:val="28"/>
          <w:szCs w:val="24"/>
        </w:rPr>
        <w:t>沟</w:t>
      </w:r>
      <w:r>
        <w:rPr>
          <w:rFonts w:hint="eastAsia"/>
          <w:kern w:val="2"/>
          <w:sz w:val="28"/>
          <w:szCs w:val="24"/>
          <w:lang w:val="en-US" w:eastAsia="zh-CN"/>
        </w:rPr>
        <w:t>和</w:t>
      </w:r>
      <w:r>
        <w:rPr>
          <w:rFonts w:hint="eastAsia"/>
          <w:kern w:val="2"/>
          <w:sz w:val="28"/>
          <w:szCs w:val="24"/>
        </w:rPr>
        <w:t>工业场地</w:t>
      </w:r>
      <w:r>
        <w:rPr>
          <w:rFonts w:hint="eastAsia"/>
          <w:kern w:val="2"/>
          <w:sz w:val="28"/>
          <w:szCs w:val="24"/>
          <w:lang w:val="en-US" w:eastAsia="zh-CN"/>
        </w:rPr>
        <w:t>设</w:t>
      </w:r>
      <w:r>
        <w:rPr>
          <w:rFonts w:hint="eastAsia"/>
          <w:kern w:val="2"/>
          <w:sz w:val="28"/>
          <w:szCs w:val="24"/>
        </w:rPr>
        <w:t>置了排水沟。经评价，认为防排水单元可以满足矿山生产的需要。</w:t>
      </w:r>
    </w:p>
    <w:p>
      <w:pPr>
        <w:pStyle w:val="4"/>
        <w:bidi w:val="0"/>
        <w:rPr>
          <w:rFonts w:hint="eastAsia"/>
          <w:lang w:eastAsia="zh-CN"/>
        </w:rPr>
      </w:pPr>
      <w:bookmarkStart w:id="476" w:name="_Toc17930"/>
      <w:r>
        <w:rPr>
          <w:rFonts w:hint="eastAsia"/>
          <w:lang w:eastAsia="zh-CN"/>
        </w:rPr>
        <w:t>4.</w:t>
      </w:r>
      <w:bookmarkEnd w:id="454"/>
      <w:r>
        <w:rPr>
          <w:rFonts w:hint="eastAsia"/>
          <w:lang w:eastAsia="zh-CN"/>
        </w:rPr>
        <w:t>6供配电单元</w:t>
      </w:r>
      <w:bookmarkEnd w:id="455"/>
      <w:bookmarkEnd w:id="456"/>
      <w:bookmarkEnd w:id="457"/>
      <w:bookmarkEnd w:id="476"/>
    </w:p>
    <w:p>
      <w:pPr>
        <w:pStyle w:val="46"/>
        <w:bidi w:val="0"/>
        <w:rPr>
          <w:rFonts w:hint="eastAsia"/>
        </w:rPr>
      </w:pPr>
      <w:bookmarkStart w:id="477" w:name="_Toc385433922"/>
      <w:bookmarkStart w:id="478" w:name="_Toc102829746"/>
      <w:bookmarkStart w:id="479" w:name="_Toc352006133"/>
      <w:bookmarkStart w:id="480" w:name="_Toc27084"/>
      <w:r>
        <w:rPr>
          <w:rFonts w:hint="eastAsia"/>
        </w:rPr>
        <w:t>4.6.1供配电安全检查表</w:t>
      </w:r>
      <w:bookmarkEnd w:id="477"/>
      <w:bookmarkEnd w:id="478"/>
      <w:bookmarkEnd w:id="479"/>
      <w:bookmarkEnd w:id="480"/>
    </w:p>
    <w:p>
      <w:pPr>
        <w:wordWrap/>
        <w:topLinePunct w:val="0"/>
        <w:bidi w:val="0"/>
        <w:spacing w:line="500" w:lineRule="exact"/>
        <w:ind w:firstLine="560" w:firstLineChars="200"/>
        <w:textAlignment w:val="auto"/>
        <w:rPr>
          <w:rFonts w:hint="eastAsia" w:ascii="宋体" w:hAnsi="宋体" w:eastAsia="宋体" w:cs="宋体"/>
          <w:color w:val="auto"/>
          <w:kern w:val="0"/>
          <w:sz w:val="28"/>
          <w:szCs w:val="28"/>
          <w:lang w:val="zh-CN"/>
        </w:rPr>
      </w:pPr>
      <w:r>
        <w:rPr>
          <w:rFonts w:hint="eastAsia" w:ascii="宋体" w:hAnsi="宋体" w:eastAsia="宋体" w:cs="宋体"/>
          <w:color w:val="auto"/>
          <w:kern w:val="0"/>
          <w:sz w:val="28"/>
          <w:szCs w:val="28"/>
          <w:lang w:val="zh-CN"/>
        </w:rPr>
        <w:t>根据《金属非金属矿山安全规程》（GB16423-2020）、《小型露天采石场安全管理与监督检查规定》的内容，对该矿山供配电进行安全检查与分析，见表4-9。</w:t>
      </w:r>
    </w:p>
    <w:p>
      <w:pPr>
        <w:wordWrap/>
        <w:topLinePunct w:val="0"/>
        <w:bidi w:val="0"/>
        <w:spacing w:line="500" w:lineRule="exact"/>
        <w:ind w:firstLine="561"/>
        <w:jc w:val="center"/>
        <w:textAlignment w:val="auto"/>
        <w:rPr>
          <w:rFonts w:hint="eastAsia" w:ascii="宋体" w:hAnsi="宋体"/>
          <w:b/>
          <w:color w:val="auto"/>
          <w:sz w:val="24"/>
        </w:rPr>
      </w:pPr>
      <w:r>
        <w:rPr>
          <w:rFonts w:hint="eastAsia" w:ascii="宋体" w:hAnsi="宋体"/>
          <w:b/>
          <w:color w:val="auto"/>
          <w:sz w:val="24"/>
        </w:rPr>
        <w:t>表4-9供配电单元安全检查表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4066"/>
        <w:gridCol w:w="1869"/>
        <w:gridCol w:w="1722"/>
        <w:gridCol w:w="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34" w:type="dxa"/>
            <w:noWrap w:val="0"/>
            <w:vAlign w:val="center"/>
          </w:tcPr>
          <w:p>
            <w:pPr>
              <w:wordWrap/>
              <w:topLinePunct w:val="0"/>
              <w:bidi w:val="0"/>
              <w:spacing w:line="240" w:lineRule="auto"/>
              <w:jc w:val="center"/>
              <w:textAlignment w:val="auto"/>
              <w:rPr>
                <w:rFonts w:hint="eastAsia" w:ascii="宋体" w:hAnsi="宋体" w:cs="宋体"/>
                <w:b/>
                <w:color w:val="auto"/>
                <w:szCs w:val="21"/>
              </w:rPr>
            </w:pPr>
            <w:bookmarkStart w:id="481" w:name="_Toc245020745"/>
            <w:bookmarkStart w:id="482" w:name="_Toc270575320"/>
            <w:bookmarkStart w:id="483" w:name="_Toc257379735"/>
            <w:bookmarkStart w:id="484" w:name="_Toc270584101"/>
            <w:bookmarkStart w:id="485" w:name="_Toc286843902"/>
            <w:bookmarkStart w:id="486" w:name="_Toc252799895"/>
            <w:bookmarkStart w:id="487" w:name="_Toc244575487"/>
            <w:bookmarkStart w:id="488" w:name="_Toc268698365"/>
            <w:bookmarkStart w:id="489" w:name="_Toc289770742"/>
            <w:bookmarkStart w:id="490" w:name="_Toc270417022"/>
            <w:r>
              <w:rPr>
                <w:rFonts w:hint="eastAsia" w:ascii="宋体" w:hAnsi="宋体" w:cs="宋体"/>
                <w:b/>
                <w:color w:val="auto"/>
                <w:szCs w:val="21"/>
              </w:rPr>
              <w:t>序号</w:t>
            </w:r>
            <w:bookmarkEnd w:id="481"/>
            <w:bookmarkEnd w:id="482"/>
            <w:bookmarkEnd w:id="483"/>
            <w:bookmarkEnd w:id="484"/>
            <w:bookmarkEnd w:id="485"/>
            <w:bookmarkEnd w:id="486"/>
            <w:bookmarkEnd w:id="487"/>
            <w:bookmarkEnd w:id="488"/>
            <w:bookmarkEnd w:id="489"/>
            <w:bookmarkEnd w:id="490"/>
          </w:p>
        </w:tc>
        <w:tc>
          <w:tcPr>
            <w:tcW w:w="4066" w:type="dxa"/>
            <w:noWrap w:val="0"/>
            <w:vAlign w:val="center"/>
          </w:tcPr>
          <w:p>
            <w:pPr>
              <w:wordWrap/>
              <w:topLinePunct w:val="0"/>
              <w:bidi w:val="0"/>
              <w:spacing w:line="240" w:lineRule="auto"/>
              <w:jc w:val="center"/>
              <w:textAlignment w:val="auto"/>
              <w:rPr>
                <w:rFonts w:hint="eastAsia" w:ascii="宋体" w:hAnsi="宋体" w:cs="宋体"/>
                <w:b/>
                <w:color w:val="auto"/>
                <w:szCs w:val="21"/>
              </w:rPr>
            </w:pPr>
            <w:bookmarkStart w:id="491" w:name="_Toc252799896"/>
            <w:bookmarkStart w:id="492" w:name="_Toc244575488"/>
            <w:bookmarkStart w:id="493" w:name="_Toc268698366"/>
            <w:bookmarkStart w:id="494" w:name="_Toc245020746"/>
            <w:bookmarkStart w:id="495" w:name="_Toc286843903"/>
            <w:bookmarkStart w:id="496" w:name="_Toc270584102"/>
            <w:bookmarkStart w:id="497" w:name="_Toc289770743"/>
            <w:bookmarkStart w:id="498" w:name="_Toc270575321"/>
            <w:bookmarkStart w:id="499" w:name="_Toc270417023"/>
            <w:bookmarkStart w:id="500" w:name="_Toc257379736"/>
            <w:r>
              <w:rPr>
                <w:rFonts w:hint="eastAsia" w:ascii="宋体" w:hAnsi="宋体" w:cs="宋体"/>
                <w:b/>
                <w:color w:val="auto"/>
                <w:szCs w:val="21"/>
              </w:rPr>
              <w:t>检查内容</w:t>
            </w:r>
            <w:bookmarkEnd w:id="491"/>
            <w:bookmarkEnd w:id="492"/>
            <w:bookmarkEnd w:id="493"/>
            <w:bookmarkEnd w:id="494"/>
            <w:bookmarkEnd w:id="495"/>
            <w:bookmarkEnd w:id="496"/>
            <w:bookmarkEnd w:id="497"/>
            <w:bookmarkEnd w:id="498"/>
            <w:bookmarkEnd w:id="499"/>
            <w:bookmarkEnd w:id="500"/>
          </w:p>
        </w:tc>
        <w:tc>
          <w:tcPr>
            <w:tcW w:w="1869" w:type="dxa"/>
            <w:noWrap w:val="0"/>
            <w:vAlign w:val="center"/>
          </w:tcPr>
          <w:p>
            <w:pPr>
              <w:wordWrap/>
              <w:topLinePunct w:val="0"/>
              <w:bidi w:val="0"/>
              <w:spacing w:line="240" w:lineRule="auto"/>
              <w:jc w:val="center"/>
              <w:textAlignment w:val="auto"/>
              <w:rPr>
                <w:rFonts w:hint="eastAsia" w:ascii="宋体" w:hAnsi="宋体" w:cs="宋体"/>
                <w:b/>
                <w:color w:val="auto"/>
                <w:szCs w:val="21"/>
              </w:rPr>
            </w:pPr>
            <w:bookmarkStart w:id="501" w:name="_Toc244575489"/>
            <w:bookmarkStart w:id="502" w:name="_Toc270417024"/>
            <w:bookmarkStart w:id="503" w:name="_Toc270584103"/>
            <w:bookmarkStart w:id="504" w:name="_Toc257379737"/>
            <w:bookmarkStart w:id="505" w:name="_Toc289770744"/>
            <w:bookmarkStart w:id="506" w:name="_Toc268698367"/>
            <w:bookmarkStart w:id="507" w:name="_Toc286843904"/>
            <w:bookmarkStart w:id="508" w:name="_Toc252799897"/>
            <w:bookmarkStart w:id="509" w:name="_Toc245020747"/>
            <w:bookmarkStart w:id="510" w:name="_Toc270575322"/>
            <w:r>
              <w:rPr>
                <w:rFonts w:hint="eastAsia" w:ascii="宋体" w:hAnsi="宋体" w:cs="宋体"/>
                <w:b/>
                <w:color w:val="auto"/>
                <w:szCs w:val="21"/>
              </w:rPr>
              <w:t>检查依据</w:t>
            </w:r>
            <w:bookmarkEnd w:id="501"/>
            <w:bookmarkEnd w:id="502"/>
            <w:bookmarkEnd w:id="503"/>
            <w:bookmarkEnd w:id="504"/>
            <w:bookmarkEnd w:id="505"/>
            <w:bookmarkEnd w:id="506"/>
            <w:bookmarkEnd w:id="507"/>
            <w:bookmarkEnd w:id="508"/>
            <w:bookmarkEnd w:id="509"/>
            <w:bookmarkEnd w:id="510"/>
          </w:p>
        </w:tc>
        <w:tc>
          <w:tcPr>
            <w:tcW w:w="1722" w:type="dxa"/>
            <w:noWrap w:val="0"/>
            <w:vAlign w:val="center"/>
          </w:tcPr>
          <w:p>
            <w:pPr>
              <w:wordWrap/>
              <w:topLinePunct w:val="0"/>
              <w:bidi w:val="0"/>
              <w:spacing w:line="240" w:lineRule="auto"/>
              <w:jc w:val="center"/>
              <w:textAlignment w:val="auto"/>
              <w:rPr>
                <w:rFonts w:hint="eastAsia" w:ascii="宋体" w:hAnsi="宋体" w:cs="宋体"/>
                <w:b/>
                <w:color w:val="auto"/>
                <w:szCs w:val="21"/>
              </w:rPr>
            </w:pPr>
            <w:r>
              <w:rPr>
                <w:rFonts w:hint="eastAsia" w:ascii="宋体" w:hAnsi="宋体" w:cs="宋体"/>
                <w:b/>
                <w:color w:val="auto"/>
                <w:szCs w:val="21"/>
              </w:rPr>
              <w:t>检查情况</w:t>
            </w:r>
          </w:p>
        </w:tc>
        <w:tc>
          <w:tcPr>
            <w:tcW w:w="701" w:type="dxa"/>
            <w:noWrap w:val="0"/>
            <w:vAlign w:val="center"/>
          </w:tcPr>
          <w:p>
            <w:pPr>
              <w:wordWrap/>
              <w:topLinePunct w:val="0"/>
              <w:bidi w:val="0"/>
              <w:spacing w:line="240" w:lineRule="auto"/>
              <w:jc w:val="center"/>
              <w:textAlignment w:val="auto"/>
              <w:rPr>
                <w:rFonts w:hint="eastAsia" w:ascii="宋体" w:hAnsi="宋体" w:cs="宋体"/>
                <w:b/>
                <w:color w:val="auto"/>
                <w:szCs w:val="21"/>
              </w:rPr>
            </w:pPr>
            <w:r>
              <w:rPr>
                <w:rFonts w:hint="eastAsia" w:ascii="宋体" w:hAnsi="宋体" w:cs="宋体"/>
                <w:b/>
                <w:color w:val="auto"/>
                <w:szCs w:val="21"/>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4" w:type="dxa"/>
            <w:noWrap w:val="0"/>
            <w:vAlign w:val="center"/>
          </w:tcPr>
          <w:p>
            <w:pPr>
              <w:wordWrap/>
              <w:topLinePunct w:val="0"/>
              <w:bidi w:val="0"/>
              <w:spacing w:line="240" w:lineRule="auto"/>
              <w:jc w:val="center"/>
              <w:textAlignment w:val="auto"/>
              <w:rPr>
                <w:rFonts w:hint="eastAsia" w:ascii="宋体" w:hAnsi="宋体" w:cs="宋体"/>
                <w:color w:val="auto"/>
                <w:szCs w:val="21"/>
              </w:rPr>
            </w:pPr>
            <w:bookmarkStart w:id="511" w:name="_Toc244575493"/>
            <w:bookmarkStart w:id="512" w:name="_Toc245020751"/>
            <w:bookmarkStart w:id="513" w:name="_Toc252799901"/>
            <w:r>
              <w:rPr>
                <w:rFonts w:hint="eastAsia" w:ascii="宋体" w:hAnsi="宋体" w:cs="宋体"/>
                <w:color w:val="auto"/>
                <w:szCs w:val="21"/>
              </w:rPr>
              <w:t>1</w:t>
            </w:r>
            <w:bookmarkEnd w:id="511"/>
            <w:bookmarkEnd w:id="512"/>
            <w:bookmarkEnd w:id="513"/>
          </w:p>
        </w:tc>
        <w:tc>
          <w:tcPr>
            <w:tcW w:w="4066"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电气工作人员，应按规定考核合格方准上岗，上岗应穿戴和使用防护用品、用具进行操作。维修电气设备和线路，应由电气工作人员进行。</w:t>
            </w:r>
          </w:p>
        </w:tc>
        <w:tc>
          <w:tcPr>
            <w:tcW w:w="1869" w:type="dxa"/>
            <w:noWrap w:val="0"/>
            <w:vAlign w:val="center"/>
          </w:tcPr>
          <w:p>
            <w:pPr>
              <w:wordWrap/>
              <w:topLinePunct w:val="0"/>
              <w:bidi w:val="0"/>
              <w:spacing w:line="240" w:lineRule="auto"/>
              <w:jc w:val="center"/>
              <w:textAlignment w:val="auto"/>
              <w:rPr>
                <w:rFonts w:hint="default" w:ascii="宋体" w:hAnsi="宋体" w:cs="宋体"/>
                <w:color w:val="auto"/>
                <w:szCs w:val="21"/>
                <w:lang w:val="en-US"/>
              </w:rPr>
            </w:pPr>
            <w:r>
              <w:rPr>
                <w:rFonts w:hint="eastAsia" w:ascii="宋体" w:hAnsi="宋体" w:cs="宋体"/>
                <w:color w:val="auto"/>
                <w:szCs w:val="21"/>
              </w:rPr>
              <w:t>金属非金属矿山安全规程（GB16423-2020）</w:t>
            </w:r>
            <w:r>
              <w:rPr>
                <w:rFonts w:hint="eastAsia" w:ascii="宋体" w:hAnsi="宋体" w:cs="宋体"/>
                <w:color w:val="auto"/>
                <w:szCs w:val="21"/>
                <w:lang w:val="en-US" w:eastAsia="zh-CN"/>
              </w:rPr>
              <w:t>5.6.5.4条</w:t>
            </w:r>
          </w:p>
        </w:tc>
        <w:tc>
          <w:tcPr>
            <w:tcW w:w="1722"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电工持证上岗</w:t>
            </w:r>
          </w:p>
        </w:tc>
        <w:tc>
          <w:tcPr>
            <w:tcW w:w="701"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4" w:type="dxa"/>
            <w:noWrap w:val="0"/>
            <w:vAlign w:val="center"/>
          </w:tcPr>
          <w:p>
            <w:pPr>
              <w:wordWrap/>
              <w:topLinePunct w:val="0"/>
              <w:bidi w:val="0"/>
              <w:spacing w:line="240" w:lineRule="auto"/>
              <w:jc w:val="center"/>
              <w:textAlignment w:val="auto"/>
              <w:rPr>
                <w:rFonts w:hint="eastAsia" w:ascii="宋体" w:hAnsi="宋体" w:cs="宋体"/>
                <w:color w:val="auto"/>
                <w:szCs w:val="21"/>
              </w:rPr>
            </w:pPr>
            <w:bookmarkStart w:id="514" w:name="_Toc245020756"/>
            <w:bookmarkStart w:id="515" w:name="_Toc252799906"/>
            <w:bookmarkStart w:id="516" w:name="_Toc244575498"/>
            <w:r>
              <w:rPr>
                <w:rFonts w:hint="eastAsia" w:ascii="宋体" w:hAnsi="宋体" w:cs="宋体"/>
                <w:color w:val="auto"/>
                <w:szCs w:val="21"/>
              </w:rPr>
              <w:t>2</w:t>
            </w:r>
            <w:bookmarkEnd w:id="514"/>
            <w:bookmarkEnd w:id="515"/>
            <w:bookmarkEnd w:id="516"/>
          </w:p>
        </w:tc>
        <w:tc>
          <w:tcPr>
            <w:tcW w:w="4066"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电气设备可能被人触及的裸露带电部分，应设置保护罩或遮栏及警示标志。</w:t>
            </w:r>
          </w:p>
        </w:tc>
        <w:tc>
          <w:tcPr>
            <w:tcW w:w="1869" w:type="dxa"/>
            <w:noWrap w:val="0"/>
            <w:vAlign w:val="center"/>
          </w:tcPr>
          <w:p>
            <w:pPr>
              <w:wordWrap/>
              <w:topLinePunct w:val="0"/>
              <w:bidi w:val="0"/>
              <w:spacing w:line="240" w:lineRule="auto"/>
              <w:jc w:val="center"/>
              <w:textAlignment w:val="auto"/>
              <w:rPr>
                <w:rFonts w:hint="default" w:ascii="宋体" w:hAnsi="宋体" w:eastAsia="宋体" w:cs="宋体"/>
                <w:color w:val="auto"/>
                <w:szCs w:val="21"/>
                <w:lang w:val="en-US" w:eastAsia="zh-CN"/>
              </w:rPr>
            </w:pPr>
            <w:r>
              <w:rPr>
                <w:rFonts w:hint="eastAsia" w:ascii="宋体" w:hAnsi="宋体" w:cs="宋体"/>
                <w:color w:val="auto"/>
                <w:szCs w:val="21"/>
              </w:rPr>
              <w:t>金属非金属矿山安全规程（GB16423-2020）</w:t>
            </w:r>
            <w:r>
              <w:rPr>
                <w:rFonts w:hint="eastAsia" w:ascii="宋体" w:hAnsi="宋体" w:cs="宋体"/>
                <w:color w:val="auto"/>
                <w:szCs w:val="21"/>
                <w:lang w:val="en-US" w:eastAsia="zh-CN"/>
              </w:rPr>
              <w:t>5.6.5.3条</w:t>
            </w:r>
          </w:p>
        </w:tc>
        <w:tc>
          <w:tcPr>
            <w:tcW w:w="1722" w:type="dxa"/>
            <w:noWrap w:val="0"/>
            <w:vAlign w:val="center"/>
          </w:tcPr>
          <w:p>
            <w:pPr>
              <w:wordWrap/>
              <w:topLinePunct w:val="0"/>
              <w:bidi w:val="0"/>
              <w:spacing w:line="240" w:lineRule="auto"/>
              <w:jc w:val="center"/>
              <w:textAlignment w:val="auto"/>
              <w:rPr>
                <w:rFonts w:hint="eastAsia" w:ascii="宋体" w:hAnsi="宋体" w:eastAsia="宋体" w:cs="宋体"/>
                <w:color w:val="auto"/>
                <w:szCs w:val="21"/>
                <w:lang w:val="en-US" w:eastAsia="zh-CN"/>
              </w:rPr>
            </w:pPr>
            <w:r>
              <w:rPr>
                <w:rFonts w:hint="eastAsia" w:ascii="宋体" w:hAnsi="宋体" w:eastAsia="宋体" w:cs="宋体"/>
                <w:color w:val="auto"/>
                <w:sz w:val="21"/>
                <w:szCs w:val="21"/>
              </w:rPr>
              <w:t>已设置保护罩和安全警示标志</w:t>
            </w:r>
          </w:p>
        </w:tc>
        <w:tc>
          <w:tcPr>
            <w:tcW w:w="701"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4" w:type="dxa"/>
            <w:noWrap w:val="0"/>
            <w:vAlign w:val="center"/>
          </w:tcPr>
          <w:p>
            <w:pPr>
              <w:wordWrap/>
              <w:topLinePunct w:val="0"/>
              <w:bidi w:val="0"/>
              <w:spacing w:line="240" w:lineRule="auto"/>
              <w:jc w:val="center"/>
              <w:textAlignment w:val="auto"/>
              <w:rPr>
                <w:rFonts w:hint="eastAsia" w:ascii="宋体" w:hAnsi="宋体" w:cs="宋体"/>
                <w:color w:val="auto"/>
                <w:szCs w:val="21"/>
              </w:rPr>
            </w:pPr>
            <w:bookmarkStart w:id="517" w:name="_Toc245020761"/>
            <w:bookmarkStart w:id="518" w:name="_Toc252799911"/>
            <w:bookmarkStart w:id="519" w:name="_Toc244575503"/>
            <w:r>
              <w:rPr>
                <w:rFonts w:hint="eastAsia" w:ascii="宋体" w:hAnsi="宋体" w:cs="宋体"/>
                <w:color w:val="auto"/>
                <w:szCs w:val="21"/>
              </w:rPr>
              <w:t>3</w:t>
            </w:r>
            <w:bookmarkEnd w:id="517"/>
            <w:bookmarkEnd w:id="518"/>
            <w:bookmarkEnd w:id="519"/>
          </w:p>
        </w:tc>
        <w:tc>
          <w:tcPr>
            <w:tcW w:w="4066"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供电设备和线路的停电和送电，应严格执行工作票制度。</w:t>
            </w:r>
          </w:p>
        </w:tc>
        <w:tc>
          <w:tcPr>
            <w:tcW w:w="1869" w:type="dxa"/>
            <w:noWrap w:val="0"/>
            <w:vAlign w:val="center"/>
          </w:tcPr>
          <w:p>
            <w:pPr>
              <w:wordWrap/>
              <w:topLinePunct w:val="0"/>
              <w:bidi w:val="0"/>
              <w:spacing w:line="240" w:lineRule="auto"/>
              <w:jc w:val="center"/>
              <w:textAlignment w:val="auto"/>
              <w:rPr>
                <w:rFonts w:hint="default" w:ascii="宋体" w:hAnsi="宋体" w:eastAsia="宋体" w:cs="宋体"/>
                <w:color w:val="auto"/>
                <w:szCs w:val="21"/>
                <w:lang w:val="en-US" w:eastAsia="zh-CN"/>
              </w:rPr>
            </w:pPr>
            <w:r>
              <w:rPr>
                <w:rFonts w:hint="eastAsia" w:ascii="宋体" w:hAnsi="宋体" w:cs="宋体"/>
                <w:color w:val="auto"/>
                <w:szCs w:val="21"/>
              </w:rPr>
              <w:t>金属非金属矿山安全规程（GB16423-2020）</w:t>
            </w:r>
            <w:r>
              <w:rPr>
                <w:rFonts w:hint="eastAsia" w:ascii="宋体" w:hAnsi="宋体" w:cs="宋体"/>
                <w:color w:val="auto"/>
                <w:szCs w:val="21"/>
                <w:lang w:val="en-US" w:eastAsia="zh-CN"/>
              </w:rPr>
              <w:t>5.6.5.1条</w:t>
            </w:r>
          </w:p>
        </w:tc>
        <w:tc>
          <w:tcPr>
            <w:tcW w:w="1722"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执行工作票制度</w:t>
            </w:r>
          </w:p>
        </w:tc>
        <w:tc>
          <w:tcPr>
            <w:tcW w:w="701"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4" w:type="dxa"/>
            <w:noWrap w:val="0"/>
            <w:vAlign w:val="center"/>
          </w:tcPr>
          <w:p>
            <w:pPr>
              <w:wordWrap/>
              <w:topLinePunct w:val="0"/>
              <w:bidi w:val="0"/>
              <w:spacing w:line="240" w:lineRule="auto"/>
              <w:jc w:val="center"/>
              <w:textAlignment w:val="auto"/>
              <w:rPr>
                <w:rFonts w:hint="eastAsia" w:ascii="宋体" w:hAnsi="宋体" w:cs="宋体"/>
                <w:color w:val="auto"/>
                <w:szCs w:val="21"/>
              </w:rPr>
            </w:pPr>
            <w:bookmarkStart w:id="520" w:name="_Toc245020766"/>
            <w:bookmarkStart w:id="521" w:name="_Toc252799916"/>
            <w:bookmarkStart w:id="522" w:name="_Toc244575508"/>
            <w:r>
              <w:rPr>
                <w:rFonts w:hint="eastAsia" w:ascii="宋体" w:hAnsi="宋体" w:cs="宋体"/>
                <w:color w:val="auto"/>
                <w:szCs w:val="21"/>
              </w:rPr>
              <w:t>4</w:t>
            </w:r>
            <w:bookmarkEnd w:id="520"/>
            <w:bookmarkEnd w:id="521"/>
            <w:bookmarkEnd w:id="522"/>
          </w:p>
        </w:tc>
        <w:tc>
          <w:tcPr>
            <w:tcW w:w="4066" w:type="dxa"/>
            <w:noWrap w:val="0"/>
            <w:vAlign w:val="center"/>
          </w:tcPr>
          <w:p>
            <w:pPr>
              <w:wordWrap/>
              <w:topLinePunct w:val="0"/>
              <w:bidi w:val="0"/>
              <w:spacing w:line="240" w:lineRule="auto"/>
              <w:textAlignment w:val="auto"/>
              <w:rPr>
                <w:rFonts w:hint="eastAsia" w:ascii="宋体" w:hAnsi="宋体" w:cs="宋体"/>
                <w:color w:val="auto"/>
                <w:szCs w:val="21"/>
              </w:rPr>
            </w:pPr>
            <w:bookmarkStart w:id="523" w:name="_Toc252799920"/>
            <w:bookmarkStart w:id="524" w:name="_Toc245020770"/>
            <w:bookmarkStart w:id="525" w:name="_Toc244575512"/>
            <w:r>
              <w:rPr>
                <w:rFonts w:hint="eastAsia" w:ascii="宋体" w:hAnsi="宋体" w:cs="宋体"/>
                <w:color w:val="auto"/>
                <w:szCs w:val="21"/>
              </w:rPr>
              <w:t>在电源线路上断电作业时，该线路的电源开关把手，应加锁或设专人看护，并悬挂“有人作业，不准送电”的警示牌。</w:t>
            </w:r>
            <w:bookmarkEnd w:id="523"/>
            <w:bookmarkEnd w:id="524"/>
            <w:bookmarkEnd w:id="525"/>
          </w:p>
        </w:tc>
        <w:tc>
          <w:tcPr>
            <w:tcW w:w="1869" w:type="dxa"/>
            <w:noWrap w:val="0"/>
            <w:vAlign w:val="center"/>
          </w:tcPr>
          <w:p>
            <w:pPr>
              <w:wordWrap/>
              <w:topLinePunct w:val="0"/>
              <w:bidi w:val="0"/>
              <w:spacing w:line="240" w:lineRule="auto"/>
              <w:jc w:val="center"/>
              <w:textAlignment w:val="auto"/>
              <w:rPr>
                <w:rFonts w:hint="default" w:ascii="宋体" w:hAnsi="宋体" w:eastAsia="宋体" w:cs="宋体"/>
                <w:color w:val="auto"/>
                <w:szCs w:val="21"/>
                <w:lang w:val="en-US" w:eastAsia="zh-CN"/>
              </w:rPr>
            </w:pPr>
            <w:r>
              <w:rPr>
                <w:rFonts w:hint="eastAsia" w:ascii="宋体" w:hAnsi="宋体" w:cs="宋体"/>
                <w:color w:val="auto"/>
                <w:szCs w:val="21"/>
              </w:rPr>
              <w:t>金属非金属矿山安全规程（GB16423-2020）</w:t>
            </w:r>
            <w:r>
              <w:rPr>
                <w:rFonts w:hint="eastAsia" w:ascii="宋体" w:hAnsi="宋体" w:cs="宋体"/>
                <w:color w:val="auto"/>
                <w:szCs w:val="21"/>
                <w:lang w:val="en-US" w:eastAsia="zh-CN"/>
              </w:rPr>
              <w:t>5.6.5.7条</w:t>
            </w:r>
          </w:p>
        </w:tc>
        <w:tc>
          <w:tcPr>
            <w:tcW w:w="1722" w:type="dxa"/>
            <w:noWrap w:val="0"/>
            <w:vAlign w:val="center"/>
          </w:tcPr>
          <w:p>
            <w:pPr>
              <w:pStyle w:val="64"/>
              <w:wordWrap/>
              <w:topLinePunct w:val="0"/>
              <w:bidi w:val="0"/>
              <w:spacing w:line="240" w:lineRule="auto"/>
              <w:jc w:val="center"/>
              <w:textAlignment w:val="auto"/>
              <w:rPr>
                <w:rFonts w:hint="default" w:ascii="宋体" w:hAnsi="宋体" w:eastAsia="宋体" w:cs="宋体"/>
                <w:color w:val="auto"/>
                <w:sz w:val="21"/>
                <w:szCs w:val="21"/>
              </w:rPr>
            </w:pPr>
            <w:r>
              <w:rPr>
                <w:rFonts w:ascii="宋体" w:hAnsi="宋体" w:eastAsia="宋体" w:cs="宋体"/>
                <w:color w:val="auto"/>
                <w:kern w:val="2"/>
                <w:sz w:val="21"/>
                <w:szCs w:val="21"/>
              </w:rPr>
              <w:t>按规程操作</w:t>
            </w:r>
          </w:p>
        </w:tc>
        <w:tc>
          <w:tcPr>
            <w:tcW w:w="701"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 w:hRule="atLeast"/>
        </w:trPr>
        <w:tc>
          <w:tcPr>
            <w:tcW w:w="734" w:type="dxa"/>
            <w:noWrap w:val="0"/>
            <w:vAlign w:val="center"/>
          </w:tcPr>
          <w:p>
            <w:pPr>
              <w:wordWrap/>
              <w:topLinePunct w:val="0"/>
              <w:bidi w:val="0"/>
              <w:spacing w:line="240" w:lineRule="auto"/>
              <w:jc w:val="center"/>
              <w:textAlignment w:val="auto"/>
              <w:rPr>
                <w:rFonts w:hint="eastAsia" w:ascii="宋体" w:hAnsi="宋体" w:eastAsia="宋体" w:cs="宋体"/>
                <w:color w:val="auto"/>
                <w:szCs w:val="21"/>
                <w:lang w:eastAsia="zh-CN"/>
              </w:rPr>
            </w:pPr>
            <w:r>
              <w:rPr>
                <w:rFonts w:hint="eastAsia" w:ascii="宋体" w:hAnsi="宋体" w:cs="宋体"/>
                <w:color w:val="auto"/>
                <w:szCs w:val="21"/>
                <w:lang w:val="en-US" w:eastAsia="zh-CN"/>
              </w:rPr>
              <w:t>5</w:t>
            </w:r>
          </w:p>
        </w:tc>
        <w:tc>
          <w:tcPr>
            <w:tcW w:w="4066"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矿山电气设备、线路，应设有可靠的防雷、接地装置，并定期进行全面检查和</w:t>
            </w:r>
            <w:r>
              <w:rPr>
                <w:rFonts w:hint="eastAsia" w:ascii="宋体" w:hAnsi="宋体" w:cs="宋体"/>
                <w:color w:val="auto"/>
                <w:szCs w:val="21"/>
                <w:lang w:eastAsia="zh-CN"/>
              </w:rPr>
              <w:t>检测</w:t>
            </w:r>
            <w:r>
              <w:rPr>
                <w:rFonts w:hint="eastAsia" w:ascii="宋体" w:hAnsi="宋体" w:cs="宋体"/>
                <w:color w:val="auto"/>
                <w:szCs w:val="21"/>
              </w:rPr>
              <w:t>，不合格的应及时更换或修复。</w:t>
            </w:r>
          </w:p>
        </w:tc>
        <w:tc>
          <w:tcPr>
            <w:tcW w:w="1869" w:type="dxa"/>
            <w:noWrap w:val="0"/>
            <w:vAlign w:val="center"/>
          </w:tcPr>
          <w:p>
            <w:pPr>
              <w:wordWrap/>
              <w:topLinePunct w:val="0"/>
              <w:bidi w:val="0"/>
              <w:spacing w:line="240" w:lineRule="auto"/>
              <w:jc w:val="center"/>
              <w:textAlignment w:val="auto"/>
              <w:rPr>
                <w:rFonts w:hint="default" w:ascii="宋体" w:hAnsi="宋体" w:eastAsia="宋体" w:cs="宋体"/>
                <w:color w:val="auto"/>
                <w:szCs w:val="21"/>
                <w:lang w:val="en-US" w:eastAsia="zh-CN"/>
              </w:rPr>
            </w:pPr>
            <w:r>
              <w:rPr>
                <w:rFonts w:hint="eastAsia" w:ascii="宋体" w:hAnsi="宋体" w:cs="宋体"/>
                <w:color w:val="auto"/>
                <w:szCs w:val="21"/>
              </w:rPr>
              <w:t>金属非金属矿山安全规程（GB16423-2020）</w:t>
            </w:r>
            <w:r>
              <w:rPr>
                <w:rFonts w:hint="eastAsia" w:ascii="宋体" w:hAnsi="宋体" w:cs="宋体"/>
                <w:color w:val="auto"/>
                <w:szCs w:val="21"/>
                <w:lang w:val="en-US" w:eastAsia="zh-CN"/>
              </w:rPr>
              <w:t>5.6.5.5条</w:t>
            </w:r>
          </w:p>
        </w:tc>
        <w:tc>
          <w:tcPr>
            <w:tcW w:w="1722"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供配电系统已设计防雷和接地装置</w:t>
            </w:r>
            <w:r>
              <w:rPr>
                <w:rFonts w:hint="eastAsia" w:ascii="宋体" w:hAnsi="宋体" w:cs="宋体"/>
                <w:color w:val="auto"/>
                <w:szCs w:val="21"/>
                <w:lang w:val="en-US" w:eastAsia="zh-CN"/>
              </w:rPr>
              <w:t>并落实设备接地</w:t>
            </w:r>
            <w:r>
              <w:rPr>
                <w:rFonts w:hint="eastAsia" w:ascii="宋体" w:hAnsi="宋体" w:cs="宋体"/>
                <w:color w:val="auto"/>
                <w:szCs w:val="21"/>
              </w:rPr>
              <w:t>。</w:t>
            </w:r>
          </w:p>
        </w:tc>
        <w:tc>
          <w:tcPr>
            <w:tcW w:w="701"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4" w:type="dxa"/>
            <w:noWrap w:val="0"/>
            <w:vAlign w:val="center"/>
          </w:tcPr>
          <w:p>
            <w:pPr>
              <w:wordWrap/>
              <w:topLinePunct w:val="0"/>
              <w:bidi w:val="0"/>
              <w:spacing w:line="240" w:lineRule="auto"/>
              <w:jc w:val="center"/>
              <w:textAlignment w:val="auto"/>
              <w:rPr>
                <w:rFonts w:hint="eastAsia" w:ascii="宋体" w:hAnsi="宋体" w:eastAsia="宋体" w:cs="宋体"/>
                <w:color w:val="auto"/>
                <w:szCs w:val="21"/>
                <w:lang w:eastAsia="zh-CN"/>
              </w:rPr>
            </w:pPr>
            <w:r>
              <w:rPr>
                <w:rFonts w:hint="eastAsia" w:ascii="宋体" w:hAnsi="宋体" w:cs="宋体"/>
                <w:color w:val="auto"/>
                <w:szCs w:val="21"/>
                <w:lang w:val="en-US" w:eastAsia="zh-CN"/>
              </w:rPr>
              <w:t>6</w:t>
            </w:r>
          </w:p>
        </w:tc>
        <w:tc>
          <w:tcPr>
            <w:tcW w:w="4066" w:type="dxa"/>
            <w:noWrap w:val="0"/>
            <w:vAlign w:val="center"/>
          </w:tcPr>
          <w:p>
            <w:pPr>
              <w:autoSpaceDE w:val="0"/>
              <w:autoSpaceDN w:val="0"/>
              <w:spacing w:line="300" w:lineRule="exact"/>
              <w:jc w:val="left"/>
              <w:rPr>
                <w:bCs/>
                <w:szCs w:val="21"/>
              </w:rPr>
            </w:pPr>
            <w:r>
              <w:rPr>
                <w:bCs/>
                <w:szCs w:val="21"/>
              </w:rPr>
              <w:t xml:space="preserve">主变电所应符合下列规定： </w:t>
            </w:r>
          </w:p>
          <w:p>
            <w:pPr>
              <w:autoSpaceDE w:val="0"/>
              <w:autoSpaceDN w:val="0"/>
              <w:spacing w:line="300" w:lineRule="exact"/>
              <w:jc w:val="left"/>
              <w:rPr>
                <w:bCs/>
                <w:szCs w:val="21"/>
              </w:rPr>
            </w:pPr>
            <w:r>
              <w:rPr>
                <w:bCs/>
                <w:szCs w:val="21"/>
              </w:rPr>
              <w:t xml:space="preserve">——有防雷、防火、防潮措施； </w:t>
            </w:r>
          </w:p>
          <w:p>
            <w:pPr>
              <w:autoSpaceDE w:val="0"/>
              <w:autoSpaceDN w:val="0"/>
              <w:spacing w:line="300" w:lineRule="exact"/>
              <w:jc w:val="left"/>
              <w:rPr>
                <w:bCs/>
                <w:szCs w:val="21"/>
              </w:rPr>
            </w:pPr>
            <w:r>
              <w:rPr>
                <w:bCs/>
                <w:szCs w:val="21"/>
              </w:rPr>
              <w:t xml:space="preserve">——有防止小动物窜入的措施； </w:t>
            </w:r>
          </w:p>
          <w:p>
            <w:pPr>
              <w:autoSpaceDE w:val="0"/>
              <w:autoSpaceDN w:val="0"/>
              <w:spacing w:line="300" w:lineRule="exact"/>
              <w:jc w:val="left"/>
              <w:rPr>
                <w:bCs/>
                <w:szCs w:val="21"/>
              </w:rPr>
            </w:pPr>
            <w:r>
              <w:rPr>
                <w:bCs/>
                <w:szCs w:val="21"/>
              </w:rPr>
              <w:t xml:space="preserve">——有防止电缆燃烧的措施； </w:t>
            </w:r>
          </w:p>
          <w:p>
            <w:pPr>
              <w:autoSpaceDE w:val="0"/>
              <w:autoSpaceDN w:val="0"/>
              <w:spacing w:line="300" w:lineRule="exact"/>
              <w:jc w:val="left"/>
              <w:rPr>
                <w:bCs/>
                <w:szCs w:val="21"/>
              </w:rPr>
            </w:pPr>
            <w:r>
              <w:rPr>
                <w:bCs/>
                <w:szCs w:val="21"/>
              </w:rPr>
              <w:t xml:space="preserve">——所有电气设备正常不带电的金属外壳应有保护接地； </w:t>
            </w:r>
          </w:p>
          <w:p>
            <w:pPr>
              <w:autoSpaceDE w:val="0"/>
              <w:autoSpaceDN w:val="0"/>
              <w:spacing w:line="300" w:lineRule="exact"/>
              <w:jc w:val="left"/>
              <w:rPr>
                <w:bCs/>
                <w:szCs w:val="21"/>
              </w:rPr>
            </w:pPr>
            <w:r>
              <w:rPr>
                <w:bCs/>
                <w:szCs w:val="21"/>
              </w:rPr>
              <w:t>——带电的导线、设备、变压器、油开关附近不应有易燃易爆物品；</w:t>
            </w:r>
          </w:p>
          <w:p>
            <w:pPr>
              <w:autoSpaceDE w:val="0"/>
              <w:autoSpaceDN w:val="0"/>
              <w:spacing w:line="300" w:lineRule="exact"/>
              <w:jc w:val="left"/>
              <w:rPr>
                <w:rFonts w:hint="eastAsia" w:ascii="宋体" w:hAnsi="宋体" w:cs="宋体"/>
                <w:color w:val="auto"/>
                <w:szCs w:val="21"/>
              </w:rPr>
            </w:pPr>
            <w:r>
              <w:rPr>
                <w:bCs/>
                <w:szCs w:val="21"/>
              </w:rPr>
              <w:t>——电气设备周围应有保护措施并设置警示标志。</w:t>
            </w:r>
          </w:p>
        </w:tc>
        <w:tc>
          <w:tcPr>
            <w:tcW w:w="1869" w:type="dxa"/>
            <w:noWrap w:val="0"/>
            <w:vAlign w:val="center"/>
          </w:tcPr>
          <w:p>
            <w:pPr>
              <w:spacing w:line="300" w:lineRule="exact"/>
              <w:jc w:val="center"/>
              <w:rPr>
                <w:rFonts w:hint="eastAsia"/>
                <w:bCs/>
                <w:snapToGrid w:val="0"/>
                <w:kern w:val="0"/>
                <w:szCs w:val="21"/>
              </w:rPr>
            </w:pPr>
            <w:r>
              <w:rPr>
                <w:rFonts w:hint="eastAsia"/>
                <w:bCs/>
                <w:snapToGrid w:val="0"/>
                <w:kern w:val="0"/>
                <w:szCs w:val="21"/>
              </w:rPr>
              <w:t>GB16423-2020</w:t>
            </w:r>
          </w:p>
          <w:p>
            <w:pPr>
              <w:spacing w:line="300" w:lineRule="exact"/>
              <w:jc w:val="center"/>
              <w:rPr>
                <w:rFonts w:hint="eastAsia" w:ascii="宋体" w:hAnsi="宋体" w:cs="宋体"/>
                <w:color w:val="auto"/>
                <w:szCs w:val="21"/>
              </w:rPr>
            </w:pPr>
            <w:r>
              <w:rPr>
                <w:rFonts w:hint="eastAsia"/>
                <w:bCs/>
                <w:szCs w:val="21"/>
              </w:rPr>
              <w:t>第</w:t>
            </w:r>
            <w:r>
              <w:rPr>
                <w:bCs/>
                <w:szCs w:val="21"/>
              </w:rPr>
              <w:t>5.</w:t>
            </w:r>
            <w:r>
              <w:rPr>
                <w:rFonts w:hint="eastAsia"/>
                <w:bCs/>
                <w:szCs w:val="21"/>
              </w:rPr>
              <w:t>6.5.2条</w:t>
            </w:r>
          </w:p>
        </w:tc>
        <w:tc>
          <w:tcPr>
            <w:tcW w:w="1722" w:type="dxa"/>
            <w:noWrap w:val="0"/>
            <w:vAlign w:val="center"/>
          </w:tcPr>
          <w:p>
            <w:pPr>
              <w:spacing w:line="300" w:lineRule="exact"/>
              <w:rPr>
                <w:rFonts w:hint="eastAsia" w:eastAsia="宋体"/>
                <w:bCs/>
                <w:szCs w:val="21"/>
                <w:lang w:eastAsia="zh-CN"/>
              </w:rPr>
            </w:pPr>
            <w:r>
              <w:rPr>
                <w:rFonts w:hint="eastAsia"/>
                <w:bCs/>
                <w:szCs w:val="21"/>
                <w:lang w:val="en-US" w:eastAsia="zh-CN"/>
              </w:rPr>
              <w:t>变压器设置在矿区东南侧矿4点附近，</w:t>
            </w:r>
            <w:r>
              <w:rPr>
                <w:rFonts w:hint="eastAsia"/>
                <w:bCs/>
                <w:szCs w:val="21"/>
                <w:lang w:val="zh-TW"/>
              </w:rPr>
              <w:t>变压器</w:t>
            </w:r>
            <w:r>
              <w:rPr>
                <w:rFonts w:hint="eastAsia"/>
                <w:bCs/>
                <w:szCs w:val="21"/>
              </w:rPr>
              <w:t>周围设置了</w:t>
            </w:r>
            <w:r>
              <w:rPr>
                <w:rFonts w:hint="eastAsia"/>
                <w:bCs/>
                <w:szCs w:val="21"/>
                <w:lang w:val="en-US" w:eastAsia="zh-CN"/>
              </w:rPr>
              <w:t>铁丝网围栏</w:t>
            </w:r>
            <w:r>
              <w:rPr>
                <w:rFonts w:hint="eastAsia"/>
                <w:bCs/>
                <w:szCs w:val="21"/>
              </w:rPr>
              <w:t>，并在醒目处设置了安全警示标志</w:t>
            </w:r>
            <w:r>
              <w:rPr>
                <w:rFonts w:hint="eastAsia"/>
                <w:bCs/>
                <w:szCs w:val="21"/>
                <w:lang w:eastAsia="zh-CN"/>
              </w:rPr>
              <w:t>，</w:t>
            </w:r>
          </w:p>
          <w:p>
            <w:pPr>
              <w:spacing w:line="300" w:lineRule="exact"/>
              <w:rPr>
                <w:rFonts w:hint="eastAsia" w:ascii="宋体" w:hAnsi="宋体" w:cs="宋体"/>
                <w:color w:val="auto"/>
                <w:szCs w:val="21"/>
              </w:rPr>
            </w:pPr>
            <w:r>
              <w:rPr>
                <w:rFonts w:hint="eastAsia"/>
                <w:bCs/>
                <w:szCs w:val="21"/>
              </w:rPr>
              <w:t>变压器的设置满足上述</w:t>
            </w:r>
            <w:r>
              <w:rPr>
                <w:bCs/>
                <w:szCs w:val="21"/>
              </w:rPr>
              <w:t>规定</w:t>
            </w:r>
            <w:r>
              <w:rPr>
                <w:rFonts w:hint="eastAsia"/>
                <w:bCs/>
                <w:szCs w:val="21"/>
              </w:rPr>
              <w:t>要求。</w:t>
            </w:r>
          </w:p>
        </w:tc>
        <w:tc>
          <w:tcPr>
            <w:tcW w:w="701" w:type="dxa"/>
            <w:noWrap w:val="0"/>
            <w:vAlign w:val="center"/>
          </w:tcPr>
          <w:p>
            <w:pPr>
              <w:spacing w:line="300" w:lineRule="exact"/>
              <w:rPr>
                <w:rFonts w:hint="eastAsia" w:ascii="宋体" w:hAnsi="宋体" w:cs="宋体"/>
                <w:color w:val="auto"/>
                <w:szCs w:val="21"/>
              </w:rPr>
            </w:pPr>
            <w:r>
              <w:rPr>
                <w:rFonts w:hint="eastAsia"/>
                <w:bCs/>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734" w:type="dxa"/>
            <w:noWrap w:val="0"/>
            <w:vAlign w:val="center"/>
          </w:tcPr>
          <w:p>
            <w:pPr>
              <w:wordWrap/>
              <w:topLinePunct w:val="0"/>
              <w:bidi w:val="0"/>
              <w:spacing w:line="240" w:lineRule="auto"/>
              <w:jc w:val="center"/>
              <w:textAlignment w:val="auto"/>
              <w:rPr>
                <w:rFonts w:hint="eastAsia" w:ascii="宋体" w:hAnsi="宋体" w:eastAsia="宋体" w:cs="宋体"/>
                <w:color w:val="auto"/>
                <w:szCs w:val="21"/>
                <w:lang w:eastAsia="zh-CN"/>
              </w:rPr>
            </w:pPr>
            <w:r>
              <w:rPr>
                <w:rFonts w:hint="eastAsia" w:ascii="宋体" w:hAnsi="宋体" w:cs="宋体"/>
                <w:color w:val="auto"/>
                <w:szCs w:val="21"/>
                <w:lang w:val="en-US" w:eastAsia="zh-CN"/>
              </w:rPr>
              <w:t>7</w:t>
            </w:r>
          </w:p>
        </w:tc>
        <w:tc>
          <w:tcPr>
            <w:tcW w:w="4066"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shd w:val="clear" w:color="auto" w:fill="FFFFFF"/>
              </w:rPr>
              <w:t>电气设备应当有接地、过流、漏电保护装置。变电所应当有独立的避雷系统和防火、防潮与防止小动物窜入带电部位的措施。</w:t>
            </w:r>
          </w:p>
        </w:tc>
        <w:tc>
          <w:tcPr>
            <w:tcW w:w="186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pacing w:val="4"/>
                <w:kern w:val="10"/>
                <w:position w:val="2"/>
                <w:szCs w:val="21"/>
              </w:rPr>
              <w:t>《小型露天采石场安全管理与监督检查规定》第二十四条</w:t>
            </w:r>
          </w:p>
        </w:tc>
        <w:tc>
          <w:tcPr>
            <w:tcW w:w="1722" w:type="dxa"/>
            <w:noWrap w:val="0"/>
            <w:vAlign w:val="center"/>
          </w:tcPr>
          <w:p>
            <w:pPr>
              <w:pStyle w:val="64"/>
              <w:wordWrap/>
              <w:topLinePunct w:val="0"/>
              <w:bidi w:val="0"/>
              <w:spacing w:line="240" w:lineRule="auto"/>
              <w:textAlignment w:val="auto"/>
              <w:rPr>
                <w:rFonts w:hint="default" w:ascii="宋体" w:hAnsi="宋体" w:eastAsia="宋体" w:cs="宋体"/>
                <w:color w:val="auto"/>
                <w:kern w:val="2"/>
                <w:sz w:val="21"/>
                <w:szCs w:val="21"/>
                <w:lang w:val="en-US" w:eastAsia="zh-CN"/>
              </w:rPr>
            </w:pPr>
            <w:r>
              <w:rPr>
                <w:rFonts w:hint="default" w:ascii="宋体" w:hAnsi="宋体" w:eastAsia="宋体" w:cs="宋体"/>
                <w:color w:val="auto"/>
                <w:kern w:val="2"/>
                <w:sz w:val="21"/>
                <w:szCs w:val="21"/>
                <w:lang w:val="en-US" w:eastAsia="zh-CN" w:bidi="ar-SA"/>
              </w:rPr>
              <w:t>配电室绝缘手套、绝缘鞋、令克棒未定期检测，配电室防鼠板损坏</w:t>
            </w:r>
          </w:p>
        </w:tc>
        <w:tc>
          <w:tcPr>
            <w:tcW w:w="701"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lang w:val="en-US" w:eastAsia="zh-CN"/>
              </w:rPr>
              <w:t>不</w:t>
            </w:r>
            <w:r>
              <w:rPr>
                <w:rFonts w:hint="eastAsia" w:ascii="宋体" w:hAnsi="宋体" w:cs="宋体"/>
                <w:color w:val="auto"/>
                <w:szCs w:val="21"/>
              </w:rPr>
              <w:t>符合</w:t>
            </w:r>
          </w:p>
        </w:tc>
      </w:tr>
    </w:tbl>
    <w:p>
      <w:pPr>
        <w:pStyle w:val="5"/>
        <w:bidi w:val="0"/>
        <w:rPr>
          <w:rFonts w:hint="eastAsia"/>
        </w:rPr>
      </w:pPr>
      <w:bookmarkStart w:id="526" w:name="_Toc102829747"/>
      <w:bookmarkStart w:id="527" w:name="_Toc8530"/>
      <w:bookmarkStart w:id="528" w:name="_Toc502865215"/>
      <w:bookmarkStart w:id="529" w:name="_Toc467792815"/>
      <w:bookmarkStart w:id="530" w:name="_Toc438635212"/>
      <w:bookmarkStart w:id="531" w:name="_Toc2547"/>
      <w:bookmarkStart w:id="532" w:name="_Toc9421"/>
      <w:r>
        <w:rPr>
          <w:rFonts w:hint="eastAsia"/>
        </w:rPr>
        <w:t>4.6.2现状与设计吻合性分析</w:t>
      </w:r>
      <w:bookmarkEnd w:id="526"/>
      <w:bookmarkEnd w:id="527"/>
    </w:p>
    <w:p>
      <w:pPr>
        <w:wordWrap/>
        <w:topLinePunct w:val="0"/>
        <w:bidi w:val="0"/>
        <w:spacing w:line="500" w:lineRule="exact"/>
        <w:ind w:firstLine="560" w:firstLineChars="200"/>
        <w:textAlignment w:val="auto"/>
        <w:outlineLvl w:val="9"/>
        <w:rPr>
          <w:rFonts w:hint="eastAsia" w:ascii="宋体" w:hAnsi="宋体" w:cs="宋体"/>
          <w:b/>
          <w:color w:val="auto"/>
          <w:sz w:val="28"/>
          <w:szCs w:val="28"/>
        </w:rPr>
      </w:pPr>
      <w:r>
        <w:rPr>
          <w:rFonts w:hint="eastAsia" w:ascii="宋体" w:hAnsi="宋体" w:cs="宋体"/>
          <w:b/>
          <w:color w:val="auto"/>
          <w:sz w:val="28"/>
          <w:szCs w:val="28"/>
        </w:rPr>
        <w:t>1．设计情况</w:t>
      </w:r>
    </w:p>
    <w:p>
      <w:pPr>
        <w:wordWrap/>
        <w:topLinePunct w:val="0"/>
        <w:autoSpaceDE w:val="0"/>
        <w:autoSpaceDN w:val="0"/>
        <w:bidi w:val="0"/>
        <w:spacing w:line="50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矿区用电从当地电网10kV引入，矿山供电由该电网统一供电，矿山原安装有1台200KVA，通过变压器降压后分出380V和220V分别供至生产区和生活区。</w:t>
      </w:r>
    </w:p>
    <w:p>
      <w:pPr>
        <w:wordWrap/>
        <w:topLinePunct w:val="0"/>
        <w:autoSpaceDE w:val="0"/>
        <w:autoSpaceDN w:val="0"/>
        <w:bidi w:val="0"/>
        <w:spacing w:line="500" w:lineRule="exact"/>
        <w:ind w:firstLine="560" w:firstLineChars="200"/>
        <w:textAlignment w:val="auto"/>
        <w:rPr>
          <w:rFonts w:hint="default" w:ascii="宋体" w:hAnsi="宋体" w:eastAsia="宋体" w:cs="宋体"/>
          <w:b/>
          <w:bCs/>
          <w:color w:val="auto"/>
          <w:kern w:val="2"/>
          <w:sz w:val="28"/>
          <w:szCs w:val="28"/>
          <w:lang w:val="en-US" w:eastAsia="zh-CN" w:bidi="ar-SA"/>
        </w:rPr>
      </w:pPr>
      <w:r>
        <w:rPr>
          <w:rFonts w:hint="eastAsia" w:ascii="宋体" w:hAnsi="宋体" w:cs="宋体"/>
          <w:b/>
          <w:bCs/>
          <w:color w:val="auto"/>
          <w:kern w:val="2"/>
          <w:sz w:val="28"/>
          <w:szCs w:val="28"/>
          <w:lang w:val="en-US" w:eastAsia="zh-CN" w:bidi="ar-SA"/>
        </w:rPr>
        <w:t>2.现状情况</w:t>
      </w:r>
    </w:p>
    <w:p>
      <w:pPr>
        <w:wordWrap/>
        <w:topLinePunct w:val="0"/>
        <w:autoSpaceDE w:val="0"/>
        <w:autoSpaceDN w:val="0"/>
        <w:bidi w:val="0"/>
        <w:spacing w:line="50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zh-TW" w:eastAsia="zh-CN" w:bidi="ar-SA"/>
        </w:rPr>
        <w:t>矿山供电电源取自附近电，输入电压10kV，</w:t>
      </w:r>
      <w:r>
        <w:rPr>
          <w:rFonts w:hint="default" w:ascii="宋体" w:hAnsi="宋体" w:eastAsia="宋体" w:cs="宋体"/>
          <w:color w:val="auto"/>
          <w:kern w:val="2"/>
          <w:sz w:val="28"/>
          <w:szCs w:val="28"/>
          <w:lang w:val="zh-TW" w:eastAsia="zh-CN" w:bidi="ar-SA"/>
        </w:rPr>
        <w:t>经</w:t>
      </w:r>
      <w:r>
        <w:rPr>
          <w:rFonts w:hint="default" w:ascii="宋体" w:hAnsi="宋体" w:eastAsia="宋体" w:cs="宋体"/>
          <w:color w:val="auto"/>
          <w:kern w:val="2"/>
          <w:sz w:val="28"/>
          <w:szCs w:val="28"/>
          <w:lang w:val="en-US" w:eastAsia="zh-CN" w:bidi="ar-SA"/>
        </w:rPr>
        <w:t>矿山1台</w:t>
      </w:r>
      <w:r>
        <w:rPr>
          <w:rFonts w:hint="eastAsia" w:ascii="宋体" w:hAnsi="宋体" w:eastAsia="宋体" w:cs="宋体"/>
          <w:color w:val="auto"/>
          <w:kern w:val="2"/>
          <w:sz w:val="28"/>
          <w:szCs w:val="28"/>
          <w:lang w:val="en-US" w:eastAsia="zh-CN" w:bidi="ar-SA"/>
        </w:rPr>
        <w:t>1</w:t>
      </w:r>
      <w:r>
        <w:rPr>
          <w:rFonts w:hint="default" w:ascii="宋体" w:hAnsi="宋体" w:eastAsia="宋体" w:cs="宋体"/>
          <w:color w:val="auto"/>
          <w:kern w:val="2"/>
          <w:sz w:val="28"/>
          <w:szCs w:val="28"/>
          <w:lang w:val="zh-TW" w:eastAsia="zh-CN" w:bidi="ar-SA"/>
        </w:rPr>
        <w:t>00</w:t>
      </w:r>
      <w:r>
        <w:rPr>
          <w:rFonts w:hint="default" w:ascii="宋体" w:hAnsi="宋体" w:eastAsia="宋体" w:cs="宋体"/>
          <w:color w:val="auto"/>
          <w:kern w:val="2"/>
          <w:sz w:val="28"/>
          <w:szCs w:val="28"/>
          <w:lang w:val="en-US" w:eastAsia="zh-CN" w:bidi="ar-SA"/>
        </w:rPr>
        <w:t>k</w:t>
      </w:r>
      <w:r>
        <w:rPr>
          <w:rFonts w:hint="default" w:ascii="宋体" w:hAnsi="宋体" w:eastAsia="宋体" w:cs="宋体"/>
          <w:color w:val="auto"/>
          <w:kern w:val="2"/>
          <w:sz w:val="28"/>
          <w:szCs w:val="28"/>
          <w:lang w:val="zh-TW" w:eastAsia="zh-CN" w:bidi="ar-SA"/>
        </w:rPr>
        <w:t>VA变压器</w:t>
      </w:r>
      <w:r>
        <w:rPr>
          <w:rFonts w:hint="eastAsia" w:ascii="宋体" w:hAnsi="宋体" w:eastAsia="宋体" w:cs="宋体"/>
          <w:color w:val="auto"/>
          <w:kern w:val="2"/>
          <w:sz w:val="28"/>
          <w:szCs w:val="28"/>
          <w:lang w:val="en-US" w:eastAsia="zh-CN" w:bidi="ar-SA"/>
        </w:rPr>
        <w:t>和200kVA</w:t>
      </w:r>
      <w:r>
        <w:rPr>
          <w:rFonts w:hint="default" w:ascii="宋体" w:hAnsi="宋体" w:eastAsia="宋体" w:cs="宋体"/>
          <w:color w:val="auto"/>
          <w:kern w:val="2"/>
          <w:sz w:val="28"/>
          <w:szCs w:val="28"/>
          <w:lang w:val="zh-TW" w:eastAsia="zh-CN" w:bidi="ar-SA"/>
        </w:rPr>
        <w:t>变压器降压输出后对矿山所有设备进行供电，供电能满足矿山生产及生活需求。</w:t>
      </w:r>
      <w:r>
        <w:rPr>
          <w:rFonts w:hint="eastAsia" w:ascii="宋体" w:hAnsi="宋体" w:eastAsia="宋体" w:cs="宋体"/>
          <w:color w:val="auto"/>
          <w:kern w:val="2"/>
          <w:sz w:val="28"/>
          <w:szCs w:val="28"/>
          <w:lang w:val="en-US" w:eastAsia="zh-CN" w:bidi="ar-SA"/>
        </w:rPr>
        <w:t>变压器设置在矿区东南侧矿4点附近，</w:t>
      </w:r>
      <w:r>
        <w:rPr>
          <w:rFonts w:hint="default" w:ascii="宋体" w:hAnsi="宋体" w:eastAsia="宋体" w:cs="宋体"/>
          <w:color w:val="auto"/>
          <w:kern w:val="2"/>
          <w:sz w:val="28"/>
          <w:szCs w:val="28"/>
          <w:lang w:val="zh-TW" w:eastAsia="zh-CN" w:bidi="ar-SA"/>
        </w:rPr>
        <w:t>变压器</w:t>
      </w:r>
      <w:r>
        <w:rPr>
          <w:rFonts w:hint="default" w:ascii="宋体" w:hAnsi="宋体" w:eastAsia="宋体" w:cs="宋体"/>
          <w:color w:val="auto"/>
          <w:kern w:val="2"/>
          <w:sz w:val="28"/>
          <w:szCs w:val="28"/>
          <w:lang w:val="en-US" w:eastAsia="zh-CN" w:bidi="ar-SA"/>
        </w:rPr>
        <w:t>周围设置了</w:t>
      </w:r>
      <w:r>
        <w:rPr>
          <w:rFonts w:hint="eastAsia" w:ascii="宋体" w:hAnsi="宋体" w:eastAsia="宋体" w:cs="宋体"/>
          <w:color w:val="auto"/>
          <w:kern w:val="2"/>
          <w:sz w:val="28"/>
          <w:szCs w:val="28"/>
          <w:lang w:val="en-US" w:eastAsia="zh-CN" w:bidi="ar-SA"/>
        </w:rPr>
        <w:t>铁丝网围栏</w:t>
      </w:r>
      <w:r>
        <w:rPr>
          <w:rFonts w:hint="default" w:ascii="宋体" w:hAnsi="宋体" w:eastAsia="宋体" w:cs="宋体"/>
          <w:color w:val="auto"/>
          <w:kern w:val="2"/>
          <w:sz w:val="28"/>
          <w:szCs w:val="28"/>
          <w:lang w:val="en-US" w:eastAsia="zh-CN" w:bidi="ar-SA"/>
        </w:rPr>
        <w:t>，并在醒目处设置了安全警示标志</w:t>
      </w:r>
      <w:r>
        <w:rPr>
          <w:rFonts w:hint="eastAsia" w:ascii="宋体" w:hAnsi="宋体" w:eastAsia="宋体" w:cs="宋体"/>
          <w:color w:val="auto"/>
          <w:kern w:val="2"/>
          <w:sz w:val="28"/>
          <w:szCs w:val="28"/>
          <w:lang w:val="en-US" w:eastAsia="zh-CN" w:bidi="ar-SA"/>
        </w:rPr>
        <w:t>。</w:t>
      </w:r>
    </w:p>
    <w:p>
      <w:pPr>
        <w:wordWrap/>
        <w:topLinePunct w:val="0"/>
        <w:autoSpaceDE w:val="0"/>
        <w:autoSpaceDN w:val="0"/>
        <w:bidi w:val="0"/>
        <w:spacing w:line="50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default" w:ascii="宋体" w:hAnsi="宋体" w:eastAsia="宋体" w:cs="宋体"/>
          <w:color w:val="auto"/>
          <w:kern w:val="2"/>
          <w:sz w:val="28"/>
          <w:szCs w:val="28"/>
          <w:lang w:val="zh-TW" w:eastAsia="zh-CN" w:bidi="ar-SA"/>
        </w:rPr>
        <w:t>采场开采使用机械采掘运输，均为燃油驱动。矿山生产为白班作业，不涉及夜间作业，不需进行照明</w:t>
      </w:r>
      <w:r>
        <w:rPr>
          <w:rFonts w:hint="eastAsia" w:ascii="宋体" w:hAnsi="宋体" w:eastAsia="宋体" w:cs="宋体"/>
          <w:color w:val="auto"/>
          <w:kern w:val="2"/>
          <w:sz w:val="28"/>
          <w:szCs w:val="28"/>
          <w:lang w:val="en-US" w:eastAsia="zh-CN" w:bidi="ar-SA"/>
        </w:rPr>
        <w:t>。</w:t>
      </w:r>
    </w:p>
    <w:p>
      <w:pPr>
        <w:wordWrap/>
        <w:topLinePunct w:val="0"/>
        <w:bidi w:val="0"/>
        <w:spacing w:line="500" w:lineRule="exact"/>
        <w:ind w:firstLine="560" w:firstLineChars="200"/>
        <w:textAlignment w:val="auto"/>
        <w:rPr>
          <w:rFonts w:hint="eastAsia" w:ascii="宋体" w:hAnsi="宋体"/>
          <w:color w:val="auto"/>
        </w:rPr>
      </w:pPr>
      <w:r>
        <w:rPr>
          <w:rFonts w:hint="eastAsia" w:ascii="宋体" w:hAnsi="宋体" w:eastAsia="宋体" w:cs="宋体"/>
          <w:color w:val="auto"/>
          <w:kern w:val="0"/>
          <w:sz w:val="28"/>
          <w:szCs w:val="28"/>
          <w:lang w:val="zh-CN"/>
        </w:rPr>
        <w:t>综上所述，供配电符合设计要求。</w:t>
      </w:r>
    </w:p>
    <w:p>
      <w:pPr>
        <w:pStyle w:val="5"/>
        <w:bidi w:val="0"/>
        <w:rPr>
          <w:rFonts w:hint="eastAsia"/>
        </w:rPr>
      </w:pPr>
      <w:bookmarkStart w:id="533" w:name="_Toc102829748"/>
      <w:bookmarkStart w:id="534" w:name="_Toc28364"/>
      <w:r>
        <w:rPr>
          <w:rFonts w:hint="eastAsia"/>
        </w:rPr>
        <w:t>4.6.3单元存在问题及对策措施</w:t>
      </w:r>
      <w:bookmarkEnd w:id="533"/>
      <w:bookmarkEnd w:id="534"/>
    </w:p>
    <w:p>
      <w:pPr>
        <w:wordWrap/>
        <w:topLinePunct w:val="0"/>
        <w:bidi w:val="0"/>
        <w:spacing w:line="500" w:lineRule="exact"/>
        <w:ind w:firstLine="560" w:firstLineChars="200"/>
        <w:textAlignment w:val="auto"/>
        <w:rPr>
          <w:rFonts w:hint="eastAsia" w:ascii="宋体" w:hAnsi="宋体" w:eastAsia="宋体" w:cs="宋体"/>
          <w:color w:val="auto"/>
          <w:kern w:val="0"/>
          <w:sz w:val="28"/>
          <w:szCs w:val="28"/>
          <w:lang w:val="zh-CN"/>
        </w:rPr>
      </w:pPr>
      <w:r>
        <w:rPr>
          <w:rFonts w:hint="eastAsia" w:ascii="宋体" w:hAnsi="宋体" w:eastAsia="宋体" w:cs="宋体"/>
          <w:color w:val="auto"/>
          <w:kern w:val="0"/>
          <w:sz w:val="28"/>
          <w:szCs w:val="28"/>
          <w:lang w:val="zh-CN"/>
        </w:rPr>
        <w:t>存在问题：</w:t>
      </w:r>
      <w:r>
        <w:rPr>
          <w:rFonts w:hint="eastAsia" w:ascii="宋体" w:hAnsi="宋体" w:eastAsia="宋体" w:cs="宋体"/>
          <w:color w:val="auto"/>
          <w:kern w:val="0"/>
          <w:sz w:val="28"/>
          <w:szCs w:val="28"/>
          <w:lang w:val="zh-CN" w:eastAsia="zh-CN"/>
        </w:rPr>
        <w:t>配电室绝缘手套、绝缘鞋、令克棒未定期检测，配电室防鼠板损坏</w:t>
      </w:r>
      <w:r>
        <w:rPr>
          <w:rFonts w:hint="eastAsia" w:ascii="宋体" w:hAnsi="宋体" w:eastAsia="宋体" w:cs="宋体"/>
          <w:color w:val="auto"/>
          <w:kern w:val="0"/>
          <w:sz w:val="28"/>
          <w:szCs w:val="28"/>
          <w:lang w:val="en-US" w:eastAsia="zh-CN"/>
        </w:rPr>
        <w:t>。料仓照明线路直接敷设在钢结构顶棚。</w:t>
      </w:r>
    </w:p>
    <w:p>
      <w:pPr>
        <w:wordWrap/>
        <w:topLinePunct w:val="0"/>
        <w:bidi w:val="0"/>
        <w:spacing w:line="500" w:lineRule="exact"/>
        <w:ind w:firstLine="560" w:firstLineChars="200"/>
        <w:textAlignment w:val="auto"/>
        <w:rPr>
          <w:rFonts w:hint="eastAsia" w:ascii="宋体" w:hAnsi="宋体" w:eastAsia="宋体" w:cs="宋体"/>
          <w:color w:val="auto"/>
          <w:kern w:val="0"/>
          <w:sz w:val="28"/>
          <w:szCs w:val="28"/>
          <w:lang w:val="zh-CN"/>
        </w:rPr>
      </w:pPr>
      <w:r>
        <w:rPr>
          <w:rFonts w:hint="eastAsia" w:ascii="宋体" w:hAnsi="宋体" w:eastAsia="宋体" w:cs="宋体"/>
          <w:color w:val="auto"/>
          <w:kern w:val="0"/>
          <w:sz w:val="28"/>
          <w:szCs w:val="28"/>
          <w:lang w:val="zh-CN"/>
        </w:rPr>
        <w:t>对策措施：</w:t>
      </w:r>
      <w:r>
        <w:rPr>
          <w:rFonts w:hint="eastAsia" w:ascii="宋体" w:hAnsi="宋体" w:eastAsia="宋体" w:cs="宋体"/>
          <w:color w:val="auto"/>
          <w:kern w:val="0"/>
          <w:sz w:val="28"/>
          <w:szCs w:val="28"/>
          <w:lang w:val="en-US" w:eastAsia="zh-CN"/>
        </w:rPr>
        <w:t>用电工器具应定期送检确保安全可靠，用电线路应规范铺设</w:t>
      </w:r>
      <w:r>
        <w:rPr>
          <w:rFonts w:hint="eastAsia" w:ascii="宋体" w:hAnsi="宋体" w:eastAsia="宋体" w:cs="宋体"/>
          <w:color w:val="auto"/>
          <w:kern w:val="0"/>
          <w:sz w:val="28"/>
          <w:szCs w:val="28"/>
          <w:lang w:val="zh-CN"/>
        </w:rPr>
        <w:t>。</w:t>
      </w:r>
    </w:p>
    <w:p>
      <w:pPr>
        <w:pStyle w:val="46"/>
        <w:bidi w:val="0"/>
        <w:rPr>
          <w:rFonts w:hint="eastAsia" w:ascii="宋体" w:hAnsi="宋体" w:eastAsia="宋体"/>
          <w:bCs/>
          <w:color w:val="auto"/>
        </w:rPr>
      </w:pPr>
      <w:bookmarkStart w:id="535" w:name="_Toc102829749"/>
      <w:bookmarkStart w:id="536" w:name="_Toc21742"/>
      <w:r>
        <w:rPr>
          <w:rFonts w:hint="eastAsia"/>
        </w:rPr>
        <w:t>4.6.4单元小结</w:t>
      </w:r>
      <w:bookmarkEnd w:id="528"/>
      <w:bookmarkEnd w:id="529"/>
      <w:bookmarkEnd w:id="530"/>
      <w:bookmarkEnd w:id="531"/>
      <w:bookmarkEnd w:id="532"/>
      <w:bookmarkEnd w:id="535"/>
      <w:bookmarkEnd w:id="536"/>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zh-CN"/>
        </w:rPr>
      </w:pPr>
      <w:r>
        <w:rPr>
          <w:rFonts w:hint="eastAsia" w:ascii="宋体" w:hAnsi="宋体" w:eastAsia="宋体" w:cs="宋体"/>
          <w:spacing w:val="0"/>
          <w:kern w:val="0"/>
          <w:sz w:val="28"/>
          <w:szCs w:val="28"/>
          <w:lang w:val="zh-CN"/>
        </w:rPr>
        <w:t>矿山供电电源取自附近电，输入电压10kV，经矿山1台</w:t>
      </w:r>
      <w:r>
        <w:rPr>
          <w:rFonts w:hint="eastAsia" w:ascii="宋体" w:hAnsi="宋体" w:eastAsia="宋体" w:cs="宋体"/>
          <w:spacing w:val="0"/>
          <w:kern w:val="0"/>
          <w:sz w:val="28"/>
          <w:szCs w:val="28"/>
          <w:lang w:val="zh-CN" w:eastAsia="zh-CN"/>
        </w:rPr>
        <w:t>1</w:t>
      </w:r>
      <w:r>
        <w:rPr>
          <w:rFonts w:hint="eastAsia" w:ascii="宋体" w:hAnsi="宋体" w:eastAsia="宋体" w:cs="宋体"/>
          <w:spacing w:val="0"/>
          <w:kern w:val="0"/>
          <w:sz w:val="28"/>
          <w:szCs w:val="28"/>
          <w:lang w:val="zh-CN"/>
        </w:rPr>
        <w:t>00kVA变压器</w:t>
      </w:r>
      <w:r>
        <w:rPr>
          <w:rFonts w:hint="eastAsia" w:ascii="宋体" w:hAnsi="宋体" w:eastAsia="宋体" w:cs="宋体"/>
          <w:spacing w:val="0"/>
          <w:kern w:val="0"/>
          <w:sz w:val="28"/>
          <w:szCs w:val="28"/>
          <w:lang w:val="zh-CN" w:eastAsia="zh-CN"/>
        </w:rPr>
        <w:t>和200kVA</w:t>
      </w:r>
      <w:r>
        <w:rPr>
          <w:rFonts w:hint="eastAsia" w:ascii="宋体" w:hAnsi="宋体" w:eastAsia="宋体" w:cs="宋体"/>
          <w:spacing w:val="0"/>
          <w:kern w:val="0"/>
          <w:sz w:val="28"/>
          <w:szCs w:val="28"/>
          <w:lang w:val="zh-CN"/>
        </w:rPr>
        <w:t>变压器降压输出后对矿山所有设备进行供电。采场无需照明，开采作业无需用电，开采作业无需用电。</w:t>
      </w:r>
      <w:r>
        <w:rPr>
          <w:rFonts w:hint="eastAsia" w:ascii="宋体" w:hAnsi="宋体" w:eastAsia="宋体" w:cs="宋体"/>
          <w:color w:val="auto"/>
          <w:kern w:val="0"/>
          <w:sz w:val="28"/>
          <w:szCs w:val="28"/>
          <w:lang w:val="zh-CN"/>
        </w:rPr>
        <w:t>供配电设施设置总体符合设计要求和《金属非金属矿山安全规程》（GB16423-2020）的规定，供配电单元能满足生产的需要。</w:t>
      </w:r>
    </w:p>
    <w:bookmarkEnd w:id="429"/>
    <w:p>
      <w:pPr>
        <w:pStyle w:val="4"/>
        <w:bidi w:val="0"/>
        <w:rPr>
          <w:lang w:eastAsia="zh-CN"/>
        </w:rPr>
      </w:pPr>
      <w:bookmarkStart w:id="537" w:name="_Toc2606"/>
      <w:bookmarkStart w:id="538" w:name="_Toc17048"/>
      <w:bookmarkStart w:id="539" w:name="_Toc454614339"/>
      <w:bookmarkStart w:id="540" w:name="_Toc26694"/>
      <w:bookmarkStart w:id="541" w:name="_Toc516749073"/>
      <w:bookmarkStart w:id="542" w:name="_Toc30409"/>
      <w:bookmarkStart w:id="543" w:name="_Toc28078"/>
      <w:bookmarkStart w:id="544" w:name="_Toc12330"/>
      <w:bookmarkStart w:id="545" w:name="_Toc502865223"/>
      <w:bookmarkStart w:id="546" w:name="_Toc467792823"/>
      <w:bookmarkStart w:id="547" w:name="_Toc465113001"/>
      <w:r>
        <w:rPr>
          <w:rFonts w:hint="eastAsia"/>
          <w:lang w:eastAsia="zh-CN"/>
        </w:rPr>
        <w:t>4.7个人安全防护</w:t>
      </w:r>
      <w:bookmarkEnd w:id="537"/>
      <w:bookmarkEnd w:id="538"/>
      <w:bookmarkEnd w:id="539"/>
      <w:bookmarkEnd w:id="540"/>
      <w:bookmarkEnd w:id="541"/>
      <w:r>
        <w:rPr>
          <w:rFonts w:hint="eastAsia"/>
          <w:lang w:eastAsia="zh-CN"/>
        </w:rPr>
        <w:t>单元</w:t>
      </w:r>
      <w:bookmarkEnd w:id="542"/>
    </w:p>
    <w:p>
      <w:pPr>
        <w:pStyle w:val="46"/>
        <w:bidi w:val="0"/>
        <w:rPr>
          <w:rFonts w:hint="eastAsia"/>
        </w:rPr>
      </w:pPr>
      <w:bookmarkStart w:id="548" w:name="_Toc102829751"/>
      <w:bookmarkStart w:id="549" w:name="_Toc516749074"/>
      <w:bookmarkStart w:id="550" w:name="_Toc5283"/>
      <w:r>
        <w:rPr>
          <w:rFonts w:hint="eastAsia"/>
        </w:rPr>
        <w:t>4.7.1个人安全防护符合性检查</w:t>
      </w:r>
      <w:bookmarkEnd w:id="548"/>
      <w:bookmarkEnd w:id="549"/>
      <w:bookmarkEnd w:id="550"/>
    </w:p>
    <w:p>
      <w:pPr>
        <w:wordWrap/>
        <w:topLinePunct w:val="0"/>
        <w:bidi w:val="0"/>
        <w:spacing w:line="500" w:lineRule="exact"/>
        <w:ind w:firstLine="560" w:firstLineChars="200"/>
        <w:textAlignment w:val="auto"/>
        <w:rPr>
          <w:rFonts w:hint="eastAsia" w:ascii="宋体" w:hAnsi="宋体"/>
          <w:b/>
          <w:color w:val="auto"/>
          <w:sz w:val="24"/>
        </w:rPr>
      </w:pPr>
      <w:r>
        <w:rPr>
          <w:rFonts w:hint="eastAsia" w:ascii="宋体" w:hAnsi="宋体" w:eastAsia="宋体" w:cs="宋体"/>
          <w:color w:val="auto"/>
          <w:kern w:val="0"/>
          <w:sz w:val="28"/>
          <w:szCs w:val="28"/>
          <w:lang w:val="en-US" w:eastAsia="zh-CN"/>
        </w:rPr>
        <w:t>根据《安全设施设计》采用安全检查表检查对个人防护进行符合性评价。</w:t>
      </w:r>
    </w:p>
    <w:p>
      <w:pPr>
        <w:wordWrap/>
        <w:topLinePunct w:val="0"/>
        <w:bidi w:val="0"/>
        <w:spacing w:line="500" w:lineRule="exact"/>
        <w:ind w:firstLine="561"/>
        <w:jc w:val="center"/>
        <w:textAlignment w:val="auto"/>
        <w:rPr>
          <w:rFonts w:hint="eastAsia" w:ascii="宋体" w:hAnsi="宋体"/>
          <w:b/>
          <w:color w:val="auto"/>
          <w:sz w:val="24"/>
        </w:rPr>
      </w:pPr>
      <w:r>
        <w:rPr>
          <w:rFonts w:hint="eastAsia" w:ascii="宋体" w:hAnsi="宋体"/>
          <w:b/>
          <w:color w:val="auto"/>
          <w:sz w:val="24"/>
        </w:rPr>
        <w:t>表4-10个人防护符合性检查表</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1"/>
        <w:gridCol w:w="3383"/>
        <w:gridCol w:w="1985"/>
        <w:gridCol w:w="1678"/>
        <w:gridCol w:w="842"/>
        <w:gridCol w:w="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21" w:type="dxa"/>
            <w:noWrap w:val="0"/>
            <w:vAlign w:val="center"/>
          </w:tcPr>
          <w:p>
            <w:pPr>
              <w:wordWrap/>
              <w:topLinePunct w:val="0"/>
              <w:bidi w:val="0"/>
              <w:snapToGrid w:val="0"/>
              <w:spacing w:before="158" w:beforeLines="50" w:line="240" w:lineRule="auto"/>
              <w:jc w:val="center"/>
              <w:textAlignment w:val="auto"/>
              <w:rPr>
                <w:rFonts w:hint="eastAsia" w:ascii="宋体" w:hAnsi="宋体" w:cs="宋体"/>
                <w:b/>
                <w:color w:val="auto"/>
                <w:szCs w:val="21"/>
              </w:rPr>
            </w:pPr>
            <w:r>
              <w:rPr>
                <w:rFonts w:hint="eastAsia" w:ascii="宋体" w:hAnsi="宋体" w:cs="宋体"/>
                <w:b/>
                <w:color w:val="auto"/>
                <w:szCs w:val="21"/>
              </w:rPr>
              <w:t>序号</w:t>
            </w:r>
          </w:p>
        </w:tc>
        <w:tc>
          <w:tcPr>
            <w:tcW w:w="3383" w:type="dxa"/>
            <w:noWrap w:val="0"/>
            <w:vAlign w:val="center"/>
          </w:tcPr>
          <w:p>
            <w:pPr>
              <w:wordWrap/>
              <w:topLinePunct w:val="0"/>
              <w:bidi w:val="0"/>
              <w:snapToGrid w:val="0"/>
              <w:spacing w:before="158" w:beforeLines="50" w:line="240" w:lineRule="auto"/>
              <w:jc w:val="center"/>
              <w:textAlignment w:val="auto"/>
              <w:rPr>
                <w:rFonts w:hint="eastAsia" w:ascii="宋体" w:hAnsi="宋体" w:cs="宋体"/>
                <w:b/>
                <w:color w:val="auto"/>
                <w:szCs w:val="21"/>
              </w:rPr>
            </w:pPr>
            <w:r>
              <w:rPr>
                <w:rFonts w:hint="eastAsia" w:ascii="宋体" w:hAnsi="宋体" w:cs="宋体"/>
                <w:b/>
                <w:color w:val="auto"/>
                <w:szCs w:val="21"/>
              </w:rPr>
              <w:t>检查内容</w:t>
            </w:r>
          </w:p>
        </w:tc>
        <w:tc>
          <w:tcPr>
            <w:tcW w:w="1985" w:type="dxa"/>
            <w:noWrap w:val="0"/>
            <w:vAlign w:val="center"/>
          </w:tcPr>
          <w:p>
            <w:pPr>
              <w:wordWrap/>
              <w:topLinePunct w:val="0"/>
              <w:bidi w:val="0"/>
              <w:snapToGrid w:val="0"/>
              <w:spacing w:before="158" w:beforeLines="50" w:line="240" w:lineRule="auto"/>
              <w:jc w:val="center"/>
              <w:textAlignment w:val="auto"/>
              <w:rPr>
                <w:rFonts w:hint="eastAsia" w:ascii="宋体" w:hAnsi="宋体" w:cs="宋体"/>
                <w:b/>
                <w:color w:val="auto"/>
                <w:szCs w:val="21"/>
              </w:rPr>
            </w:pPr>
            <w:r>
              <w:rPr>
                <w:rFonts w:hint="eastAsia" w:ascii="宋体" w:hAnsi="宋体" w:cs="宋体"/>
                <w:b/>
                <w:color w:val="auto"/>
                <w:szCs w:val="21"/>
              </w:rPr>
              <w:t>检查依据</w:t>
            </w:r>
          </w:p>
        </w:tc>
        <w:tc>
          <w:tcPr>
            <w:tcW w:w="1678" w:type="dxa"/>
            <w:noWrap w:val="0"/>
            <w:vAlign w:val="center"/>
          </w:tcPr>
          <w:p>
            <w:pPr>
              <w:wordWrap/>
              <w:topLinePunct w:val="0"/>
              <w:bidi w:val="0"/>
              <w:snapToGrid w:val="0"/>
              <w:spacing w:before="158" w:beforeLines="50" w:line="240" w:lineRule="auto"/>
              <w:jc w:val="center"/>
              <w:textAlignment w:val="auto"/>
              <w:rPr>
                <w:rFonts w:hint="eastAsia" w:ascii="宋体" w:hAnsi="宋体" w:cs="宋体"/>
                <w:b/>
                <w:color w:val="auto"/>
                <w:szCs w:val="21"/>
              </w:rPr>
            </w:pPr>
            <w:r>
              <w:rPr>
                <w:rFonts w:hint="eastAsia" w:ascii="宋体" w:hAnsi="宋体" w:cs="宋体"/>
                <w:b/>
                <w:color w:val="auto"/>
                <w:szCs w:val="21"/>
              </w:rPr>
              <w:t>实际情况</w:t>
            </w:r>
          </w:p>
        </w:tc>
        <w:tc>
          <w:tcPr>
            <w:tcW w:w="842" w:type="dxa"/>
            <w:noWrap w:val="0"/>
            <w:vAlign w:val="center"/>
          </w:tcPr>
          <w:p>
            <w:pPr>
              <w:pStyle w:val="27"/>
              <w:wordWrap/>
              <w:topLinePunct w:val="0"/>
              <w:bidi w:val="0"/>
              <w:snapToGrid w:val="0"/>
              <w:spacing w:before="158" w:beforeLines="50" w:line="240" w:lineRule="auto"/>
              <w:ind w:left="0" w:firstLine="0" w:firstLineChars="0"/>
              <w:jc w:val="center"/>
              <w:textAlignment w:val="auto"/>
              <w:rPr>
                <w:rFonts w:hint="eastAsia" w:ascii="宋体" w:hAnsi="宋体" w:eastAsia="宋体" w:cs="宋体"/>
                <w:b/>
                <w:color w:val="auto"/>
                <w:sz w:val="21"/>
                <w:szCs w:val="21"/>
                <w:lang w:eastAsia="zh-CN"/>
              </w:rPr>
            </w:pPr>
            <w:r>
              <w:rPr>
                <w:rFonts w:hint="eastAsia" w:ascii="宋体" w:hAnsi="宋体" w:cs="宋体"/>
                <w:b/>
                <w:color w:val="auto"/>
                <w:sz w:val="21"/>
                <w:szCs w:val="21"/>
              </w:rPr>
              <w:t>检查</w:t>
            </w:r>
            <w:r>
              <w:rPr>
                <w:rFonts w:hint="eastAsia" w:ascii="宋体" w:hAnsi="宋体" w:cs="宋体"/>
                <w:b/>
                <w:color w:val="auto"/>
                <w:sz w:val="21"/>
                <w:szCs w:val="21"/>
                <w:lang w:val="en-US" w:eastAsia="zh-CN"/>
              </w:rPr>
              <w:t>情况</w:t>
            </w:r>
          </w:p>
        </w:tc>
        <w:tc>
          <w:tcPr>
            <w:tcW w:w="658" w:type="dxa"/>
            <w:noWrap w:val="0"/>
            <w:vAlign w:val="center"/>
          </w:tcPr>
          <w:p>
            <w:pPr>
              <w:wordWrap/>
              <w:topLinePunct w:val="0"/>
              <w:bidi w:val="0"/>
              <w:snapToGrid w:val="0"/>
              <w:spacing w:before="158" w:beforeLines="50" w:line="240" w:lineRule="auto"/>
              <w:jc w:val="center"/>
              <w:textAlignment w:val="auto"/>
              <w:rPr>
                <w:rFonts w:hint="default" w:ascii="宋体" w:hAnsi="宋体" w:eastAsia="宋体" w:cs="宋体"/>
                <w:b/>
                <w:color w:val="auto"/>
                <w:szCs w:val="21"/>
                <w:lang w:val="en-US" w:eastAsia="zh-CN"/>
              </w:rPr>
            </w:pPr>
            <w:r>
              <w:rPr>
                <w:rFonts w:hint="eastAsia" w:ascii="宋体" w:hAnsi="宋体" w:cs="宋体"/>
                <w:b/>
                <w:color w:val="auto"/>
                <w:szCs w:val="21"/>
                <w:lang w:val="en-US" w:eastAsia="zh-CN"/>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8" w:hRule="atLeast"/>
          <w:jc w:val="center"/>
        </w:trPr>
        <w:tc>
          <w:tcPr>
            <w:tcW w:w="521" w:type="dxa"/>
            <w:noWrap w:val="0"/>
            <w:vAlign w:val="center"/>
          </w:tcPr>
          <w:p>
            <w:pPr>
              <w:wordWrap/>
              <w:topLinePunct w:val="0"/>
              <w:bidi w:val="0"/>
              <w:snapToGrid w:val="0"/>
              <w:spacing w:before="158" w:beforeLines="50" w:line="240" w:lineRule="auto"/>
              <w:jc w:val="center"/>
              <w:textAlignment w:val="auto"/>
              <w:rPr>
                <w:rFonts w:hint="eastAsia" w:ascii="宋体" w:hAnsi="宋体" w:cs="宋体"/>
                <w:bCs/>
                <w:color w:val="auto"/>
                <w:szCs w:val="21"/>
              </w:rPr>
            </w:pPr>
            <w:r>
              <w:rPr>
                <w:rFonts w:hint="eastAsia" w:ascii="宋体" w:hAnsi="宋体" w:cs="宋体"/>
                <w:bCs/>
                <w:color w:val="auto"/>
                <w:szCs w:val="21"/>
              </w:rPr>
              <w:t>1</w:t>
            </w:r>
          </w:p>
        </w:tc>
        <w:tc>
          <w:tcPr>
            <w:tcW w:w="3383" w:type="dxa"/>
            <w:noWrap w:val="0"/>
            <w:vAlign w:val="center"/>
          </w:tcPr>
          <w:p>
            <w:pPr>
              <w:wordWrap/>
              <w:topLinePunct w:val="0"/>
              <w:bidi w:val="0"/>
              <w:snapToGrid w:val="0"/>
              <w:spacing w:before="158" w:beforeLines="50" w:line="240" w:lineRule="auto"/>
              <w:textAlignment w:val="auto"/>
              <w:rPr>
                <w:rFonts w:hint="eastAsia" w:ascii="宋体" w:hAnsi="宋体" w:cs="宋体"/>
                <w:bCs/>
                <w:color w:val="auto"/>
                <w:szCs w:val="21"/>
              </w:rPr>
            </w:pPr>
            <w:r>
              <w:rPr>
                <w:rFonts w:hint="eastAsia" w:ascii="宋体" w:hAnsi="宋体" w:cs="宋体"/>
                <w:bCs/>
                <w:color w:val="auto"/>
                <w:szCs w:val="21"/>
              </w:rPr>
              <w:t>根据本矿山实际及露天生产特点，矿山应为员工配备的个人防护用品包括：安全帽、矿靴、防尘口罩、手套等。</w:t>
            </w:r>
          </w:p>
        </w:tc>
        <w:tc>
          <w:tcPr>
            <w:tcW w:w="1985" w:type="dxa"/>
            <w:noWrap w:val="0"/>
            <w:vAlign w:val="center"/>
          </w:tcPr>
          <w:p>
            <w:pPr>
              <w:wordWrap/>
              <w:topLinePunct w:val="0"/>
              <w:bidi w:val="0"/>
              <w:snapToGrid w:val="0"/>
              <w:spacing w:before="158" w:beforeLines="50" w:line="240" w:lineRule="auto"/>
              <w:textAlignment w:val="auto"/>
              <w:rPr>
                <w:rFonts w:hint="eastAsia" w:ascii="宋体" w:hAnsi="宋体" w:cs="宋体"/>
                <w:bCs/>
                <w:color w:val="auto"/>
                <w:szCs w:val="21"/>
              </w:rPr>
            </w:pPr>
            <w:r>
              <w:rPr>
                <w:rFonts w:hint="eastAsia" w:ascii="宋体" w:hAnsi="宋体" w:cs="宋体"/>
                <w:bCs/>
                <w:color w:val="auto"/>
                <w:szCs w:val="21"/>
              </w:rPr>
              <w:t>《</w:t>
            </w:r>
            <w:r>
              <w:rPr>
                <w:rFonts w:hint="eastAsia" w:ascii="宋体" w:hAnsi="宋体" w:cs="宋体"/>
                <w:bCs/>
                <w:color w:val="auto"/>
                <w:szCs w:val="21"/>
                <w:lang w:eastAsia="zh-CN"/>
              </w:rPr>
              <w:t>安全设施设计</w:t>
            </w:r>
            <w:r>
              <w:rPr>
                <w:rFonts w:hint="eastAsia" w:ascii="宋体" w:hAnsi="宋体" w:cs="宋体"/>
                <w:bCs/>
                <w:color w:val="auto"/>
                <w:szCs w:val="21"/>
              </w:rPr>
              <w:t>》</w:t>
            </w:r>
          </w:p>
        </w:tc>
        <w:tc>
          <w:tcPr>
            <w:tcW w:w="1678" w:type="dxa"/>
            <w:noWrap w:val="0"/>
            <w:vAlign w:val="center"/>
          </w:tcPr>
          <w:p>
            <w:pPr>
              <w:wordWrap/>
              <w:topLinePunct w:val="0"/>
              <w:bidi w:val="0"/>
              <w:snapToGrid w:val="0"/>
              <w:spacing w:before="158" w:beforeLines="50" w:line="240" w:lineRule="auto"/>
              <w:textAlignment w:val="auto"/>
              <w:rPr>
                <w:rFonts w:ascii="宋体" w:hAnsi="宋体" w:cs="宋体"/>
                <w:bCs/>
                <w:color w:val="auto"/>
                <w:szCs w:val="21"/>
              </w:rPr>
            </w:pPr>
            <w:r>
              <w:rPr>
                <w:rFonts w:hint="eastAsia" w:ascii="宋体" w:hAnsi="宋体" w:cs="宋体"/>
                <w:bCs/>
                <w:color w:val="auto"/>
                <w:szCs w:val="21"/>
              </w:rPr>
              <w:t>为员工配备的个人防护用品：安全帽、防尘口罩、手套、防护耳塞。</w:t>
            </w:r>
          </w:p>
        </w:tc>
        <w:tc>
          <w:tcPr>
            <w:tcW w:w="842" w:type="dxa"/>
            <w:noWrap w:val="0"/>
            <w:vAlign w:val="center"/>
          </w:tcPr>
          <w:p>
            <w:pPr>
              <w:wordWrap/>
              <w:topLinePunct w:val="0"/>
              <w:bidi w:val="0"/>
              <w:snapToGrid w:val="0"/>
              <w:spacing w:before="158" w:beforeLines="50" w:line="240" w:lineRule="auto"/>
              <w:jc w:val="center"/>
              <w:textAlignment w:val="auto"/>
              <w:rPr>
                <w:rFonts w:hint="eastAsia" w:ascii="宋体" w:hAnsi="宋体" w:cs="宋体"/>
                <w:bCs/>
                <w:color w:val="auto"/>
                <w:szCs w:val="21"/>
              </w:rPr>
            </w:pPr>
            <w:r>
              <w:rPr>
                <w:rFonts w:hint="eastAsia" w:ascii="宋体" w:hAnsi="宋体" w:cs="宋体"/>
                <w:bCs/>
                <w:color w:val="auto"/>
                <w:szCs w:val="21"/>
              </w:rPr>
              <w:t>一般项</w:t>
            </w:r>
          </w:p>
        </w:tc>
        <w:tc>
          <w:tcPr>
            <w:tcW w:w="658" w:type="dxa"/>
            <w:noWrap w:val="0"/>
            <w:vAlign w:val="center"/>
          </w:tcPr>
          <w:p>
            <w:pPr>
              <w:wordWrap/>
              <w:topLinePunct w:val="0"/>
              <w:bidi w:val="0"/>
              <w:snapToGrid w:val="0"/>
              <w:spacing w:before="158" w:beforeLines="50" w:line="240" w:lineRule="auto"/>
              <w:jc w:val="center"/>
              <w:textAlignment w:val="auto"/>
              <w:rPr>
                <w:rFonts w:hint="eastAsia" w:ascii="宋体" w:hAnsi="宋体" w:cs="宋体"/>
                <w:bCs/>
                <w:color w:val="auto"/>
                <w:szCs w:val="21"/>
              </w:rPr>
            </w:pPr>
            <w:r>
              <w:rPr>
                <w:rFonts w:hint="eastAsia" w:ascii="宋体" w:hAnsi="宋体" w:cs="宋体"/>
                <w:bCs/>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521" w:type="dxa"/>
            <w:noWrap w:val="0"/>
            <w:vAlign w:val="center"/>
          </w:tcPr>
          <w:p>
            <w:pPr>
              <w:wordWrap/>
              <w:topLinePunct w:val="0"/>
              <w:bidi w:val="0"/>
              <w:snapToGrid w:val="0"/>
              <w:spacing w:before="158" w:beforeLines="50" w:line="240" w:lineRule="auto"/>
              <w:jc w:val="center"/>
              <w:textAlignment w:val="auto"/>
              <w:rPr>
                <w:rFonts w:hint="eastAsia" w:ascii="宋体" w:hAnsi="宋体" w:cs="宋体"/>
                <w:bCs/>
                <w:color w:val="auto"/>
                <w:szCs w:val="21"/>
              </w:rPr>
            </w:pPr>
            <w:r>
              <w:rPr>
                <w:rFonts w:hint="eastAsia" w:ascii="宋体" w:hAnsi="宋体" w:cs="宋体"/>
                <w:bCs/>
                <w:color w:val="auto"/>
                <w:szCs w:val="21"/>
              </w:rPr>
              <w:t>2</w:t>
            </w:r>
          </w:p>
        </w:tc>
        <w:tc>
          <w:tcPr>
            <w:tcW w:w="3383" w:type="dxa"/>
            <w:noWrap w:val="0"/>
            <w:vAlign w:val="center"/>
          </w:tcPr>
          <w:p>
            <w:pPr>
              <w:wordWrap/>
              <w:topLinePunct w:val="0"/>
              <w:bidi w:val="0"/>
              <w:snapToGrid w:val="0"/>
              <w:spacing w:before="158" w:beforeLines="50" w:line="240" w:lineRule="auto"/>
              <w:textAlignment w:val="auto"/>
              <w:rPr>
                <w:rFonts w:hint="eastAsia" w:ascii="宋体" w:hAnsi="宋体" w:cs="宋体"/>
                <w:bCs/>
                <w:color w:val="auto"/>
                <w:szCs w:val="21"/>
              </w:rPr>
            </w:pPr>
            <w:r>
              <w:rPr>
                <w:rFonts w:hint="eastAsia" w:ascii="宋体" w:hAnsi="宋体" w:cs="宋体"/>
                <w:bCs/>
                <w:color w:val="auto"/>
                <w:szCs w:val="21"/>
              </w:rPr>
              <w:t>实际生产过程中，矿山应根据各施工工种的需求购买劳动防护用品，并提出购买计划，报主管领导及安全管理部门，经批准后方可购买。</w:t>
            </w:r>
          </w:p>
        </w:tc>
        <w:tc>
          <w:tcPr>
            <w:tcW w:w="1985" w:type="dxa"/>
            <w:noWrap w:val="0"/>
            <w:vAlign w:val="center"/>
          </w:tcPr>
          <w:p>
            <w:pPr>
              <w:wordWrap/>
              <w:topLinePunct w:val="0"/>
              <w:bidi w:val="0"/>
              <w:snapToGrid w:val="0"/>
              <w:spacing w:before="158" w:beforeLines="50" w:line="240" w:lineRule="auto"/>
              <w:textAlignment w:val="auto"/>
              <w:rPr>
                <w:rFonts w:hint="eastAsia" w:ascii="宋体" w:hAnsi="宋体" w:cs="宋体"/>
                <w:bCs/>
                <w:color w:val="auto"/>
                <w:szCs w:val="21"/>
              </w:rPr>
            </w:pPr>
            <w:r>
              <w:rPr>
                <w:rFonts w:hint="eastAsia" w:ascii="宋体" w:hAnsi="宋体" w:cs="宋体"/>
                <w:bCs/>
                <w:color w:val="auto"/>
                <w:szCs w:val="21"/>
              </w:rPr>
              <w:t>《</w:t>
            </w:r>
            <w:r>
              <w:rPr>
                <w:rFonts w:hint="eastAsia" w:ascii="宋体" w:hAnsi="宋体" w:cs="宋体"/>
                <w:bCs/>
                <w:color w:val="auto"/>
                <w:szCs w:val="21"/>
                <w:lang w:eastAsia="zh-CN"/>
              </w:rPr>
              <w:t>安全设施设计</w:t>
            </w:r>
            <w:r>
              <w:rPr>
                <w:rFonts w:hint="eastAsia" w:ascii="宋体" w:hAnsi="宋体" w:cs="宋体"/>
                <w:bCs/>
                <w:color w:val="auto"/>
                <w:szCs w:val="21"/>
              </w:rPr>
              <w:t>》</w:t>
            </w:r>
          </w:p>
        </w:tc>
        <w:tc>
          <w:tcPr>
            <w:tcW w:w="1678" w:type="dxa"/>
            <w:noWrap w:val="0"/>
            <w:vAlign w:val="center"/>
          </w:tcPr>
          <w:p>
            <w:pPr>
              <w:wordWrap/>
              <w:topLinePunct w:val="0"/>
              <w:bidi w:val="0"/>
              <w:snapToGrid w:val="0"/>
              <w:spacing w:before="158" w:beforeLines="50" w:line="240" w:lineRule="auto"/>
              <w:textAlignment w:val="auto"/>
              <w:rPr>
                <w:rFonts w:hint="eastAsia" w:ascii="宋体" w:hAnsi="宋体" w:cs="宋体"/>
                <w:bCs/>
                <w:color w:val="auto"/>
                <w:szCs w:val="21"/>
              </w:rPr>
            </w:pPr>
            <w:r>
              <w:rPr>
                <w:rFonts w:hint="eastAsia" w:ascii="宋体" w:hAnsi="宋体" w:cs="宋体"/>
                <w:bCs/>
                <w:color w:val="auto"/>
                <w:szCs w:val="21"/>
              </w:rPr>
              <w:t>按需购买，有防护用品购买记录</w:t>
            </w:r>
            <w:r>
              <w:rPr>
                <w:rFonts w:hint="eastAsia" w:ascii="宋体" w:hAnsi="宋体" w:cs="宋体"/>
                <w:bCs/>
                <w:color w:val="auto"/>
                <w:kern w:val="0"/>
                <w:szCs w:val="21"/>
              </w:rPr>
              <w:t>。</w:t>
            </w:r>
          </w:p>
        </w:tc>
        <w:tc>
          <w:tcPr>
            <w:tcW w:w="842" w:type="dxa"/>
            <w:noWrap w:val="0"/>
            <w:vAlign w:val="center"/>
          </w:tcPr>
          <w:p>
            <w:pPr>
              <w:wordWrap/>
              <w:topLinePunct w:val="0"/>
              <w:bidi w:val="0"/>
              <w:snapToGrid w:val="0"/>
              <w:spacing w:before="158" w:beforeLines="50" w:line="240" w:lineRule="auto"/>
              <w:jc w:val="center"/>
              <w:textAlignment w:val="auto"/>
              <w:rPr>
                <w:rFonts w:hint="eastAsia" w:ascii="宋体" w:hAnsi="宋体" w:cs="宋体"/>
                <w:bCs/>
                <w:color w:val="auto"/>
                <w:szCs w:val="21"/>
              </w:rPr>
            </w:pPr>
            <w:r>
              <w:rPr>
                <w:rFonts w:hint="eastAsia" w:ascii="宋体" w:hAnsi="宋体" w:cs="宋体"/>
                <w:bCs/>
                <w:color w:val="auto"/>
                <w:szCs w:val="21"/>
              </w:rPr>
              <w:t>一般项</w:t>
            </w:r>
          </w:p>
        </w:tc>
        <w:tc>
          <w:tcPr>
            <w:tcW w:w="658" w:type="dxa"/>
            <w:noWrap w:val="0"/>
            <w:vAlign w:val="center"/>
          </w:tcPr>
          <w:p>
            <w:pPr>
              <w:wordWrap/>
              <w:topLinePunct w:val="0"/>
              <w:bidi w:val="0"/>
              <w:snapToGrid w:val="0"/>
              <w:spacing w:before="158" w:beforeLines="50" w:line="240" w:lineRule="auto"/>
              <w:jc w:val="center"/>
              <w:textAlignment w:val="auto"/>
              <w:rPr>
                <w:rFonts w:hint="eastAsia" w:ascii="宋体" w:hAnsi="宋体" w:cs="宋体"/>
                <w:bCs/>
                <w:color w:val="auto"/>
                <w:szCs w:val="21"/>
              </w:rPr>
            </w:pPr>
            <w:r>
              <w:rPr>
                <w:rFonts w:hint="eastAsia" w:ascii="宋体" w:hAnsi="宋体" w:cs="宋体"/>
                <w:bCs/>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521" w:type="dxa"/>
            <w:noWrap w:val="0"/>
            <w:vAlign w:val="center"/>
          </w:tcPr>
          <w:p>
            <w:pPr>
              <w:wordWrap/>
              <w:topLinePunct w:val="0"/>
              <w:bidi w:val="0"/>
              <w:snapToGrid w:val="0"/>
              <w:spacing w:before="158" w:beforeLines="50" w:line="240" w:lineRule="auto"/>
              <w:jc w:val="center"/>
              <w:textAlignment w:val="auto"/>
              <w:rPr>
                <w:rFonts w:hint="eastAsia" w:ascii="宋体" w:hAnsi="宋体" w:cs="宋体"/>
                <w:bCs/>
                <w:color w:val="auto"/>
                <w:szCs w:val="21"/>
              </w:rPr>
            </w:pPr>
            <w:r>
              <w:rPr>
                <w:rFonts w:hint="eastAsia" w:ascii="宋体" w:hAnsi="宋体" w:cs="宋体"/>
                <w:bCs/>
                <w:color w:val="auto"/>
                <w:szCs w:val="21"/>
              </w:rPr>
              <w:t>3</w:t>
            </w:r>
          </w:p>
        </w:tc>
        <w:tc>
          <w:tcPr>
            <w:tcW w:w="3383" w:type="dxa"/>
            <w:noWrap w:val="0"/>
            <w:vAlign w:val="center"/>
          </w:tcPr>
          <w:p>
            <w:pPr>
              <w:wordWrap/>
              <w:topLinePunct w:val="0"/>
              <w:bidi w:val="0"/>
              <w:snapToGrid w:val="0"/>
              <w:spacing w:before="158" w:beforeLines="50" w:line="240" w:lineRule="auto"/>
              <w:textAlignment w:val="auto"/>
              <w:rPr>
                <w:rFonts w:hint="eastAsia" w:ascii="宋体" w:hAnsi="宋体" w:cs="宋体"/>
                <w:bCs/>
                <w:color w:val="auto"/>
                <w:szCs w:val="21"/>
              </w:rPr>
            </w:pPr>
            <w:r>
              <w:rPr>
                <w:rFonts w:hint="eastAsia" w:ascii="宋体" w:hAnsi="宋体" w:cs="宋体"/>
                <w:bCs/>
                <w:color w:val="auto"/>
                <w:szCs w:val="21"/>
              </w:rPr>
              <w:t>购买的劳动防护用品</w:t>
            </w:r>
            <w:r>
              <w:rPr>
                <w:rFonts w:hint="eastAsia" w:ascii="宋体" w:hAnsi="宋体" w:cs="宋体"/>
                <w:bCs/>
                <w:color w:val="auto"/>
                <w:szCs w:val="21"/>
                <w:lang w:eastAsia="zh-CN"/>
              </w:rPr>
              <w:t>必须</w:t>
            </w:r>
            <w:r>
              <w:rPr>
                <w:rFonts w:hint="eastAsia" w:ascii="宋体" w:hAnsi="宋体" w:cs="宋体"/>
                <w:bCs/>
                <w:color w:val="auto"/>
                <w:szCs w:val="21"/>
              </w:rPr>
              <w:t>在具有相应资质的销售商处购买，</w:t>
            </w:r>
            <w:r>
              <w:rPr>
                <w:rFonts w:hint="eastAsia" w:ascii="宋体" w:hAnsi="宋体" w:cs="宋体"/>
                <w:bCs/>
                <w:color w:val="auto"/>
                <w:szCs w:val="21"/>
                <w:lang w:eastAsia="zh-CN"/>
              </w:rPr>
              <w:t>购买</w:t>
            </w:r>
            <w:r>
              <w:rPr>
                <w:rFonts w:hint="eastAsia" w:ascii="宋体" w:hAnsi="宋体" w:cs="宋体"/>
                <w:bCs/>
                <w:color w:val="auto"/>
                <w:szCs w:val="21"/>
              </w:rPr>
              <w:t>的劳动防护用品必须符合国家相关标准，并妥善保管产品说明书及商品标签、合格证。</w:t>
            </w:r>
          </w:p>
        </w:tc>
        <w:tc>
          <w:tcPr>
            <w:tcW w:w="1985" w:type="dxa"/>
            <w:noWrap w:val="0"/>
            <w:vAlign w:val="center"/>
          </w:tcPr>
          <w:p>
            <w:pPr>
              <w:wordWrap/>
              <w:topLinePunct w:val="0"/>
              <w:bidi w:val="0"/>
              <w:snapToGrid w:val="0"/>
              <w:spacing w:before="158" w:beforeLines="50" w:line="240" w:lineRule="auto"/>
              <w:textAlignment w:val="auto"/>
              <w:rPr>
                <w:rFonts w:hint="eastAsia" w:ascii="宋体" w:hAnsi="宋体" w:cs="宋体"/>
                <w:bCs/>
                <w:color w:val="auto"/>
                <w:szCs w:val="21"/>
              </w:rPr>
            </w:pPr>
            <w:r>
              <w:rPr>
                <w:rFonts w:hint="eastAsia" w:ascii="宋体" w:hAnsi="宋体" w:cs="宋体"/>
                <w:bCs/>
                <w:color w:val="auto"/>
                <w:szCs w:val="21"/>
              </w:rPr>
              <w:t>《</w:t>
            </w:r>
            <w:r>
              <w:rPr>
                <w:rFonts w:hint="eastAsia" w:ascii="宋体" w:hAnsi="宋体" w:cs="宋体"/>
                <w:bCs/>
                <w:color w:val="auto"/>
                <w:szCs w:val="21"/>
                <w:lang w:eastAsia="zh-CN"/>
              </w:rPr>
              <w:t>安全设施设计</w:t>
            </w:r>
            <w:r>
              <w:rPr>
                <w:rFonts w:hint="eastAsia" w:ascii="宋体" w:hAnsi="宋体" w:cs="宋体"/>
                <w:bCs/>
                <w:color w:val="auto"/>
                <w:szCs w:val="21"/>
              </w:rPr>
              <w:t>》</w:t>
            </w:r>
          </w:p>
        </w:tc>
        <w:tc>
          <w:tcPr>
            <w:tcW w:w="1678" w:type="dxa"/>
            <w:noWrap w:val="0"/>
            <w:vAlign w:val="center"/>
          </w:tcPr>
          <w:p>
            <w:pPr>
              <w:wordWrap/>
              <w:topLinePunct w:val="0"/>
              <w:bidi w:val="0"/>
              <w:snapToGrid w:val="0"/>
              <w:spacing w:before="158" w:beforeLines="50" w:line="240" w:lineRule="auto"/>
              <w:textAlignment w:val="auto"/>
              <w:rPr>
                <w:rFonts w:hint="eastAsia" w:ascii="宋体" w:hAnsi="宋体" w:cs="宋体"/>
                <w:bCs/>
                <w:color w:val="auto"/>
                <w:szCs w:val="21"/>
              </w:rPr>
            </w:pPr>
            <w:r>
              <w:rPr>
                <w:rFonts w:hint="eastAsia" w:ascii="宋体" w:hAnsi="宋体" w:cs="宋体"/>
                <w:bCs/>
                <w:color w:val="auto"/>
                <w:szCs w:val="21"/>
              </w:rPr>
              <w:t>矿山购买的劳动防护用品，具有合格证</w:t>
            </w:r>
          </w:p>
        </w:tc>
        <w:tc>
          <w:tcPr>
            <w:tcW w:w="842" w:type="dxa"/>
            <w:noWrap w:val="0"/>
            <w:vAlign w:val="center"/>
          </w:tcPr>
          <w:p>
            <w:pPr>
              <w:wordWrap/>
              <w:topLinePunct w:val="0"/>
              <w:bidi w:val="0"/>
              <w:snapToGrid w:val="0"/>
              <w:spacing w:before="158" w:beforeLines="50" w:line="240" w:lineRule="auto"/>
              <w:jc w:val="center"/>
              <w:textAlignment w:val="auto"/>
              <w:rPr>
                <w:rFonts w:hint="eastAsia" w:ascii="宋体" w:hAnsi="宋体" w:cs="宋体"/>
                <w:bCs/>
                <w:color w:val="auto"/>
                <w:szCs w:val="21"/>
              </w:rPr>
            </w:pPr>
            <w:r>
              <w:rPr>
                <w:rFonts w:hint="eastAsia" w:ascii="宋体" w:hAnsi="宋体" w:cs="宋体"/>
                <w:bCs/>
                <w:color w:val="auto"/>
                <w:szCs w:val="21"/>
              </w:rPr>
              <w:t>一般项</w:t>
            </w:r>
          </w:p>
        </w:tc>
        <w:tc>
          <w:tcPr>
            <w:tcW w:w="658" w:type="dxa"/>
            <w:noWrap w:val="0"/>
            <w:vAlign w:val="center"/>
          </w:tcPr>
          <w:p>
            <w:pPr>
              <w:wordWrap/>
              <w:topLinePunct w:val="0"/>
              <w:bidi w:val="0"/>
              <w:snapToGrid w:val="0"/>
              <w:spacing w:before="158" w:beforeLines="50" w:line="240" w:lineRule="auto"/>
              <w:jc w:val="center"/>
              <w:textAlignment w:val="auto"/>
              <w:rPr>
                <w:rFonts w:hint="eastAsia" w:ascii="宋体" w:hAnsi="宋体" w:cs="宋体"/>
                <w:bCs/>
                <w:color w:val="auto"/>
                <w:szCs w:val="21"/>
              </w:rPr>
            </w:pPr>
            <w:r>
              <w:rPr>
                <w:rFonts w:hint="eastAsia" w:ascii="宋体" w:hAnsi="宋体" w:cs="宋体"/>
                <w:bCs/>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jc w:val="center"/>
        </w:trPr>
        <w:tc>
          <w:tcPr>
            <w:tcW w:w="521" w:type="dxa"/>
            <w:noWrap w:val="0"/>
            <w:vAlign w:val="center"/>
          </w:tcPr>
          <w:p>
            <w:pPr>
              <w:wordWrap/>
              <w:topLinePunct w:val="0"/>
              <w:bidi w:val="0"/>
              <w:snapToGrid w:val="0"/>
              <w:spacing w:before="158" w:beforeLines="50" w:line="240" w:lineRule="auto"/>
              <w:jc w:val="center"/>
              <w:textAlignment w:val="auto"/>
              <w:rPr>
                <w:rFonts w:hint="eastAsia" w:ascii="宋体" w:hAnsi="宋体" w:cs="宋体"/>
                <w:bCs/>
                <w:color w:val="auto"/>
                <w:szCs w:val="21"/>
              </w:rPr>
            </w:pPr>
            <w:r>
              <w:rPr>
                <w:rFonts w:hint="eastAsia" w:ascii="宋体" w:hAnsi="宋体" w:cs="宋体"/>
                <w:bCs/>
                <w:color w:val="auto"/>
                <w:szCs w:val="21"/>
              </w:rPr>
              <w:t>4</w:t>
            </w:r>
          </w:p>
        </w:tc>
        <w:tc>
          <w:tcPr>
            <w:tcW w:w="3383" w:type="dxa"/>
            <w:noWrap w:val="0"/>
            <w:vAlign w:val="center"/>
          </w:tcPr>
          <w:p>
            <w:pPr>
              <w:wordWrap/>
              <w:topLinePunct w:val="0"/>
              <w:bidi w:val="0"/>
              <w:snapToGrid w:val="0"/>
              <w:spacing w:before="158" w:beforeLines="50" w:line="240" w:lineRule="auto"/>
              <w:textAlignment w:val="auto"/>
              <w:rPr>
                <w:rFonts w:hint="eastAsia" w:ascii="宋体" w:hAnsi="宋体" w:cs="宋体"/>
                <w:bCs/>
                <w:color w:val="auto"/>
                <w:szCs w:val="21"/>
              </w:rPr>
            </w:pPr>
            <w:r>
              <w:rPr>
                <w:rFonts w:hint="eastAsia" w:ascii="宋体" w:hAnsi="宋体" w:cs="宋体"/>
                <w:bCs/>
                <w:color w:val="auto"/>
                <w:szCs w:val="21"/>
                <w:lang w:eastAsia="zh-CN"/>
              </w:rPr>
              <w:t>购买</w:t>
            </w:r>
            <w:r>
              <w:rPr>
                <w:rFonts w:hint="eastAsia" w:ascii="宋体" w:hAnsi="宋体" w:cs="宋体"/>
                <w:bCs/>
                <w:color w:val="auto"/>
                <w:szCs w:val="21"/>
              </w:rPr>
              <w:t>用品必要时可做破坏性试验，并将具体的数据记录下来。</w:t>
            </w:r>
          </w:p>
        </w:tc>
        <w:tc>
          <w:tcPr>
            <w:tcW w:w="1985" w:type="dxa"/>
            <w:noWrap w:val="0"/>
            <w:vAlign w:val="center"/>
          </w:tcPr>
          <w:p>
            <w:pPr>
              <w:wordWrap/>
              <w:topLinePunct w:val="0"/>
              <w:bidi w:val="0"/>
              <w:snapToGrid w:val="0"/>
              <w:spacing w:before="158" w:beforeLines="50" w:line="240" w:lineRule="auto"/>
              <w:textAlignment w:val="auto"/>
              <w:rPr>
                <w:rFonts w:hint="eastAsia" w:ascii="宋体" w:hAnsi="宋体" w:cs="宋体"/>
                <w:bCs/>
                <w:color w:val="auto"/>
                <w:szCs w:val="21"/>
              </w:rPr>
            </w:pPr>
            <w:r>
              <w:rPr>
                <w:rFonts w:hint="eastAsia" w:ascii="宋体" w:hAnsi="宋体" w:cs="宋体"/>
                <w:bCs/>
                <w:color w:val="auto"/>
                <w:szCs w:val="21"/>
              </w:rPr>
              <w:t>《</w:t>
            </w:r>
            <w:r>
              <w:rPr>
                <w:rFonts w:hint="eastAsia" w:ascii="宋体" w:hAnsi="宋体" w:cs="宋体"/>
                <w:bCs/>
                <w:color w:val="auto"/>
                <w:szCs w:val="21"/>
                <w:lang w:eastAsia="zh-CN"/>
              </w:rPr>
              <w:t>安全设施设计</w:t>
            </w:r>
            <w:r>
              <w:rPr>
                <w:rFonts w:hint="eastAsia" w:ascii="宋体" w:hAnsi="宋体" w:cs="宋体"/>
                <w:bCs/>
                <w:color w:val="auto"/>
                <w:szCs w:val="21"/>
              </w:rPr>
              <w:t>》</w:t>
            </w:r>
          </w:p>
        </w:tc>
        <w:tc>
          <w:tcPr>
            <w:tcW w:w="1678" w:type="dxa"/>
            <w:noWrap w:val="0"/>
            <w:vAlign w:val="center"/>
          </w:tcPr>
          <w:p>
            <w:pPr>
              <w:wordWrap/>
              <w:topLinePunct w:val="0"/>
              <w:bidi w:val="0"/>
              <w:snapToGrid w:val="0"/>
              <w:spacing w:before="158" w:beforeLines="50" w:line="240" w:lineRule="auto"/>
              <w:textAlignment w:val="auto"/>
              <w:rPr>
                <w:rFonts w:hint="eastAsia" w:ascii="宋体" w:hAnsi="宋体" w:eastAsia="宋体" w:cs="宋体"/>
                <w:bCs/>
                <w:color w:val="auto"/>
                <w:szCs w:val="21"/>
                <w:lang w:eastAsia="zh-CN"/>
              </w:rPr>
            </w:pPr>
            <w:r>
              <w:rPr>
                <w:rFonts w:hint="eastAsia" w:ascii="宋体" w:hAnsi="宋体" w:cs="宋体"/>
                <w:bCs/>
                <w:color w:val="auto"/>
                <w:szCs w:val="21"/>
              </w:rPr>
              <w:t>矿山购买的劳动防护用品有合格证</w:t>
            </w:r>
            <w:r>
              <w:rPr>
                <w:rFonts w:hint="eastAsia" w:ascii="宋体" w:hAnsi="宋体" w:cs="宋体"/>
                <w:bCs/>
                <w:color w:val="auto"/>
                <w:kern w:val="0"/>
                <w:szCs w:val="21"/>
              </w:rPr>
              <w:t>。</w:t>
            </w:r>
          </w:p>
        </w:tc>
        <w:tc>
          <w:tcPr>
            <w:tcW w:w="842" w:type="dxa"/>
            <w:noWrap w:val="0"/>
            <w:vAlign w:val="center"/>
          </w:tcPr>
          <w:p>
            <w:pPr>
              <w:wordWrap/>
              <w:topLinePunct w:val="0"/>
              <w:bidi w:val="0"/>
              <w:snapToGrid w:val="0"/>
              <w:spacing w:before="158" w:beforeLines="50" w:line="240" w:lineRule="auto"/>
              <w:jc w:val="center"/>
              <w:textAlignment w:val="auto"/>
              <w:rPr>
                <w:rFonts w:hint="eastAsia" w:ascii="宋体" w:hAnsi="宋体" w:cs="宋体"/>
                <w:bCs/>
                <w:color w:val="auto"/>
                <w:szCs w:val="21"/>
              </w:rPr>
            </w:pPr>
            <w:r>
              <w:rPr>
                <w:rFonts w:hint="eastAsia" w:ascii="宋体" w:hAnsi="宋体" w:cs="宋体"/>
                <w:bCs/>
                <w:color w:val="auto"/>
                <w:szCs w:val="21"/>
              </w:rPr>
              <w:t>一般项</w:t>
            </w:r>
          </w:p>
        </w:tc>
        <w:tc>
          <w:tcPr>
            <w:tcW w:w="658" w:type="dxa"/>
            <w:noWrap w:val="0"/>
            <w:vAlign w:val="center"/>
          </w:tcPr>
          <w:p>
            <w:pPr>
              <w:wordWrap/>
              <w:topLinePunct w:val="0"/>
              <w:bidi w:val="0"/>
              <w:snapToGrid w:val="0"/>
              <w:spacing w:before="158" w:beforeLines="50" w:line="240" w:lineRule="auto"/>
              <w:jc w:val="center"/>
              <w:textAlignment w:val="auto"/>
              <w:rPr>
                <w:rFonts w:hint="eastAsia" w:ascii="宋体" w:hAnsi="宋体" w:cs="宋体"/>
                <w:bCs/>
                <w:color w:val="auto"/>
                <w:szCs w:val="21"/>
              </w:rPr>
            </w:pPr>
            <w:r>
              <w:rPr>
                <w:rFonts w:hint="eastAsia" w:ascii="宋体" w:hAnsi="宋体" w:cs="宋体"/>
                <w:bCs/>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521" w:type="dxa"/>
            <w:noWrap w:val="0"/>
            <w:vAlign w:val="center"/>
          </w:tcPr>
          <w:p>
            <w:pPr>
              <w:wordWrap/>
              <w:topLinePunct w:val="0"/>
              <w:bidi w:val="0"/>
              <w:snapToGrid w:val="0"/>
              <w:spacing w:before="158" w:beforeLines="50" w:line="240" w:lineRule="auto"/>
              <w:jc w:val="center"/>
              <w:textAlignment w:val="auto"/>
              <w:rPr>
                <w:rFonts w:hint="eastAsia" w:ascii="宋体" w:hAnsi="宋体" w:cs="宋体"/>
                <w:bCs/>
                <w:color w:val="auto"/>
                <w:szCs w:val="21"/>
              </w:rPr>
            </w:pPr>
            <w:r>
              <w:rPr>
                <w:rFonts w:hint="eastAsia" w:ascii="宋体" w:hAnsi="宋体" w:cs="宋体"/>
                <w:bCs/>
                <w:color w:val="auto"/>
                <w:szCs w:val="21"/>
              </w:rPr>
              <w:t>5</w:t>
            </w:r>
          </w:p>
        </w:tc>
        <w:tc>
          <w:tcPr>
            <w:tcW w:w="3383" w:type="dxa"/>
            <w:noWrap w:val="0"/>
            <w:vAlign w:val="center"/>
          </w:tcPr>
          <w:p>
            <w:pPr>
              <w:wordWrap/>
              <w:topLinePunct w:val="0"/>
              <w:bidi w:val="0"/>
              <w:snapToGrid w:val="0"/>
              <w:spacing w:before="158" w:beforeLines="50" w:line="240" w:lineRule="auto"/>
              <w:textAlignment w:val="auto"/>
              <w:rPr>
                <w:rFonts w:hint="eastAsia" w:ascii="宋体" w:hAnsi="宋体" w:cs="宋体"/>
                <w:bCs/>
                <w:color w:val="auto"/>
                <w:szCs w:val="21"/>
              </w:rPr>
            </w:pPr>
            <w:r>
              <w:rPr>
                <w:rFonts w:hint="eastAsia" w:ascii="宋体" w:hAnsi="宋体" w:cs="宋体"/>
                <w:bCs/>
                <w:color w:val="auto"/>
                <w:szCs w:val="21"/>
              </w:rPr>
              <w:t>根据国家的规定按工种给工人及时发放个人防护用品、劳保津贴，并设置保健站等福利设施，定期为工人检查身体以确保工人的健康。</w:t>
            </w:r>
          </w:p>
        </w:tc>
        <w:tc>
          <w:tcPr>
            <w:tcW w:w="1985" w:type="dxa"/>
            <w:noWrap w:val="0"/>
            <w:vAlign w:val="center"/>
          </w:tcPr>
          <w:p>
            <w:pPr>
              <w:wordWrap/>
              <w:topLinePunct w:val="0"/>
              <w:bidi w:val="0"/>
              <w:snapToGrid w:val="0"/>
              <w:spacing w:before="158" w:beforeLines="50" w:line="240" w:lineRule="auto"/>
              <w:textAlignment w:val="auto"/>
              <w:rPr>
                <w:rFonts w:hint="eastAsia" w:ascii="宋体" w:hAnsi="宋体" w:cs="宋体"/>
                <w:bCs/>
                <w:color w:val="auto"/>
                <w:szCs w:val="21"/>
              </w:rPr>
            </w:pPr>
            <w:r>
              <w:rPr>
                <w:rFonts w:hint="eastAsia" w:ascii="宋体" w:hAnsi="宋体" w:cs="宋体"/>
                <w:bCs/>
                <w:color w:val="auto"/>
                <w:szCs w:val="21"/>
              </w:rPr>
              <w:t>《</w:t>
            </w:r>
            <w:r>
              <w:rPr>
                <w:rFonts w:hint="eastAsia" w:ascii="宋体" w:hAnsi="宋体" w:cs="宋体"/>
                <w:bCs/>
                <w:color w:val="auto"/>
                <w:szCs w:val="21"/>
                <w:lang w:eastAsia="zh-CN"/>
              </w:rPr>
              <w:t>安全设施设计</w:t>
            </w:r>
            <w:r>
              <w:rPr>
                <w:rFonts w:hint="eastAsia" w:ascii="宋体" w:hAnsi="宋体" w:cs="宋体"/>
                <w:bCs/>
                <w:color w:val="auto"/>
                <w:szCs w:val="21"/>
              </w:rPr>
              <w:t>》</w:t>
            </w:r>
          </w:p>
        </w:tc>
        <w:tc>
          <w:tcPr>
            <w:tcW w:w="1678" w:type="dxa"/>
            <w:noWrap w:val="0"/>
            <w:vAlign w:val="center"/>
          </w:tcPr>
          <w:p>
            <w:pPr>
              <w:wordWrap/>
              <w:topLinePunct w:val="0"/>
              <w:bidi w:val="0"/>
              <w:snapToGrid w:val="0"/>
              <w:spacing w:before="158" w:beforeLines="50" w:line="240" w:lineRule="auto"/>
              <w:textAlignment w:val="auto"/>
              <w:rPr>
                <w:rFonts w:hint="eastAsia" w:ascii="宋体" w:hAnsi="宋体" w:cs="宋体"/>
                <w:bCs/>
                <w:color w:val="auto"/>
                <w:szCs w:val="21"/>
              </w:rPr>
            </w:pPr>
            <w:r>
              <w:rPr>
                <w:rFonts w:hint="eastAsia" w:ascii="宋体" w:hAnsi="宋体" w:cs="宋体"/>
                <w:bCs/>
                <w:color w:val="auto"/>
                <w:szCs w:val="21"/>
              </w:rPr>
              <w:t>定期发放劳动防护用品，定期组织职工体检。</w:t>
            </w:r>
          </w:p>
        </w:tc>
        <w:tc>
          <w:tcPr>
            <w:tcW w:w="842" w:type="dxa"/>
            <w:noWrap w:val="0"/>
            <w:vAlign w:val="center"/>
          </w:tcPr>
          <w:p>
            <w:pPr>
              <w:wordWrap/>
              <w:topLinePunct w:val="0"/>
              <w:bidi w:val="0"/>
              <w:snapToGrid w:val="0"/>
              <w:spacing w:before="158" w:beforeLines="50" w:line="240" w:lineRule="auto"/>
              <w:jc w:val="center"/>
              <w:textAlignment w:val="auto"/>
              <w:rPr>
                <w:rFonts w:hint="eastAsia" w:ascii="宋体" w:hAnsi="宋体" w:cs="宋体"/>
                <w:bCs/>
                <w:color w:val="auto"/>
                <w:szCs w:val="21"/>
              </w:rPr>
            </w:pPr>
            <w:r>
              <w:rPr>
                <w:rFonts w:hint="eastAsia" w:ascii="宋体" w:hAnsi="宋体" w:cs="宋体"/>
                <w:bCs/>
                <w:color w:val="auto"/>
                <w:szCs w:val="21"/>
              </w:rPr>
              <w:t>一般项</w:t>
            </w:r>
          </w:p>
        </w:tc>
        <w:tc>
          <w:tcPr>
            <w:tcW w:w="658" w:type="dxa"/>
            <w:noWrap w:val="0"/>
            <w:vAlign w:val="center"/>
          </w:tcPr>
          <w:p>
            <w:pPr>
              <w:wordWrap/>
              <w:topLinePunct w:val="0"/>
              <w:bidi w:val="0"/>
              <w:snapToGrid w:val="0"/>
              <w:spacing w:before="158" w:beforeLines="50" w:line="240" w:lineRule="auto"/>
              <w:jc w:val="center"/>
              <w:textAlignment w:val="auto"/>
              <w:rPr>
                <w:rFonts w:hint="eastAsia" w:ascii="宋体" w:hAnsi="宋体" w:cs="宋体"/>
                <w:bCs/>
                <w:color w:val="auto"/>
                <w:szCs w:val="21"/>
              </w:rPr>
            </w:pPr>
            <w:r>
              <w:rPr>
                <w:rFonts w:hint="eastAsia" w:ascii="宋体" w:hAnsi="宋体" w:cs="宋体"/>
                <w:bCs/>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521" w:type="dxa"/>
            <w:noWrap w:val="0"/>
            <w:vAlign w:val="center"/>
          </w:tcPr>
          <w:p>
            <w:pPr>
              <w:wordWrap/>
              <w:topLinePunct w:val="0"/>
              <w:bidi w:val="0"/>
              <w:snapToGrid w:val="0"/>
              <w:spacing w:before="158" w:beforeLines="50" w:line="240" w:lineRule="auto"/>
              <w:jc w:val="center"/>
              <w:textAlignment w:val="auto"/>
              <w:rPr>
                <w:rFonts w:hint="eastAsia" w:ascii="宋体" w:hAnsi="宋体" w:cs="宋体"/>
                <w:bCs/>
                <w:color w:val="auto"/>
                <w:szCs w:val="21"/>
              </w:rPr>
            </w:pPr>
            <w:r>
              <w:rPr>
                <w:rFonts w:hint="eastAsia" w:ascii="宋体" w:hAnsi="宋体" w:cs="宋体"/>
                <w:bCs/>
                <w:color w:val="auto"/>
                <w:szCs w:val="21"/>
              </w:rPr>
              <w:t>6</w:t>
            </w:r>
          </w:p>
        </w:tc>
        <w:tc>
          <w:tcPr>
            <w:tcW w:w="3383" w:type="dxa"/>
            <w:noWrap w:val="0"/>
            <w:vAlign w:val="center"/>
          </w:tcPr>
          <w:p>
            <w:pPr>
              <w:wordWrap/>
              <w:topLinePunct w:val="0"/>
              <w:bidi w:val="0"/>
              <w:snapToGrid w:val="0"/>
              <w:spacing w:before="158" w:beforeLines="50" w:line="240" w:lineRule="auto"/>
              <w:textAlignment w:val="auto"/>
              <w:rPr>
                <w:rFonts w:hint="eastAsia" w:ascii="宋体" w:hAnsi="宋体" w:cs="宋体"/>
                <w:bCs/>
                <w:color w:val="auto"/>
                <w:szCs w:val="21"/>
              </w:rPr>
            </w:pPr>
            <w:r>
              <w:rPr>
                <w:rFonts w:hint="eastAsia" w:ascii="宋体" w:hAnsi="宋体" w:cs="宋体"/>
                <w:bCs/>
                <w:color w:val="auto"/>
                <w:szCs w:val="21"/>
              </w:rPr>
              <w:t>实施轮班制作业，按周实行倒班制，维护劳动者的生活习惯。</w:t>
            </w:r>
          </w:p>
        </w:tc>
        <w:tc>
          <w:tcPr>
            <w:tcW w:w="1985" w:type="dxa"/>
            <w:noWrap w:val="0"/>
            <w:vAlign w:val="center"/>
          </w:tcPr>
          <w:p>
            <w:pPr>
              <w:wordWrap/>
              <w:topLinePunct w:val="0"/>
              <w:bidi w:val="0"/>
              <w:snapToGrid w:val="0"/>
              <w:spacing w:before="158" w:beforeLines="50" w:line="240" w:lineRule="auto"/>
              <w:textAlignment w:val="auto"/>
              <w:rPr>
                <w:rFonts w:hint="eastAsia" w:ascii="宋体" w:hAnsi="宋体" w:cs="宋体"/>
                <w:bCs/>
                <w:color w:val="auto"/>
                <w:szCs w:val="21"/>
              </w:rPr>
            </w:pPr>
            <w:r>
              <w:rPr>
                <w:rFonts w:hint="eastAsia" w:ascii="宋体" w:hAnsi="宋体" w:cs="宋体"/>
                <w:bCs/>
                <w:color w:val="auto"/>
                <w:szCs w:val="21"/>
              </w:rPr>
              <w:t>《</w:t>
            </w:r>
            <w:r>
              <w:rPr>
                <w:rFonts w:hint="eastAsia" w:ascii="宋体" w:hAnsi="宋体" w:cs="宋体"/>
                <w:bCs/>
                <w:color w:val="auto"/>
                <w:szCs w:val="21"/>
                <w:lang w:eastAsia="zh-CN"/>
              </w:rPr>
              <w:t>安全设施设计</w:t>
            </w:r>
            <w:r>
              <w:rPr>
                <w:rFonts w:hint="eastAsia" w:ascii="宋体" w:hAnsi="宋体" w:cs="宋体"/>
                <w:bCs/>
                <w:color w:val="auto"/>
                <w:szCs w:val="21"/>
              </w:rPr>
              <w:t>》</w:t>
            </w:r>
          </w:p>
        </w:tc>
        <w:tc>
          <w:tcPr>
            <w:tcW w:w="1678" w:type="dxa"/>
            <w:noWrap w:val="0"/>
            <w:vAlign w:val="center"/>
          </w:tcPr>
          <w:p>
            <w:pPr>
              <w:wordWrap/>
              <w:topLinePunct w:val="0"/>
              <w:bidi w:val="0"/>
              <w:snapToGrid w:val="0"/>
              <w:spacing w:before="158" w:beforeLines="50" w:line="240" w:lineRule="auto"/>
              <w:textAlignment w:val="auto"/>
              <w:rPr>
                <w:rFonts w:hint="eastAsia" w:ascii="宋体" w:hAnsi="宋体" w:cs="宋体"/>
                <w:bCs/>
                <w:color w:val="auto"/>
                <w:szCs w:val="21"/>
              </w:rPr>
            </w:pPr>
            <w:r>
              <w:rPr>
                <w:rFonts w:hint="eastAsia" w:ascii="宋体" w:hAnsi="宋体" w:cs="宋体"/>
                <w:bCs/>
                <w:color w:val="auto"/>
                <w:szCs w:val="21"/>
              </w:rPr>
              <w:t>矿山制定合理的作业制度，保证劳动者</w:t>
            </w:r>
            <w:r>
              <w:rPr>
                <w:rFonts w:hint="eastAsia" w:ascii="宋体" w:hAnsi="宋体" w:cs="宋体"/>
                <w:bCs/>
                <w:color w:val="auto"/>
                <w:kern w:val="0"/>
                <w:szCs w:val="21"/>
              </w:rPr>
              <w:t>。</w:t>
            </w:r>
          </w:p>
        </w:tc>
        <w:tc>
          <w:tcPr>
            <w:tcW w:w="842" w:type="dxa"/>
            <w:noWrap w:val="0"/>
            <w:vAlign w:val="center"/>
          </w:tcPr>
          <w:p>
            <w:pPr>
              <w:wordWrap/>
              <w:topLinePunct w:val="0"/>
              <w:bidi w:val="0"/>
              <w:snapToGrid w:val="0"/>
              <w:spacing w:before="158" w:beforeLines="50" w:line="240" w:lineRule="auto"/>
              <w:jc w:val="center"/>
              <w:textAlignment w:val="auto"/>
              <w:rPr>
                <w:rFonts w:hint="eastAsia" w:ascii="宋体" w:hAnsi="宋体" w:cs="宋体"/>
                <w:bCs/>
                <w:color w:val="auto"/>
                <w:szCs w:val="21"/>
              </w:rPr>
            </w:pPr>
            <w:r>
              <w:rPr>
                <w:rFonts w:hint="eastAsia" w:ascii="宋体" w:hAnsi="宋体" w:cs="宋体"/>
                <w:bCs/>
                <w:color w:val="auto"/>
                <w:szCs w:val="21"/>
              </w:rPr>
              <w:t>一般项</w:t>
            </w:r>
          </w:p>
        </w:tc>
        <w:tc>
          <w:tcPr>
            <w:tcW w:w="658" w:type="dxa"/>
            <w:noWrap w:val="0"/>
            <w:vAlign w:val="center"/>
          </w:tcPr>
          <w:p>
            <w:pPr>
              <w:wordWrap/>
              <w:topLinePunct w:val="0"/>
              <w:bidi w:val="0"/>
              <w:snapToGrid w:val="0"/>
              <w:spacing w:before="158" w:beforeLines="50" w:line="240" w:lineRule="auto"/>
              <w:jc w:val="center"/>
              <w:textAlignment w:val="auto"/>
              <w:rPr>
                <w:rFonts w:hint="eastAsia" w:ascii="宋体" w:hAnsi="宋体" w:cs="宋体"/>
                <w:bCs/>
                <w:color w:val="auto"/>
                <w:szCs w:val="21"/>
              </w:rPr>
            </w:pPr>
            <w:r>
              <w:rPr>
                <w:rFonts w:hint="eastAsia" w:ascii="宋体" w:hAnsi="宋体" w:cs="宋体"/>
                <w:bCs/>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521" w:type="dxa"/>
            <w:noWrap w:val="0"/>
            <w:vAlign w:val="center"/>
          </w:tcPr>
          <w:p>
            <w:pPr>
              <w:wordWrap/>
              <w:topLinePunct w:val="0"/>
              <w:bidi w:val="0"/>
              <w:snapToGrid w:val="0"/>
              <w:spacing w:before="158" w:beforeLines="50" w:line="240" w:lineRule="auto"/>
              <w:jc w:val="center"/>
              <w:textAlignment w:val="auto"/>
              <w:rPr>
                <w:rFonts w:hint="eastAsia" w:ascii="宋体" w:hAnsi="宋体" w:cs="宋体"/>
                <w:bCs/>
                <w:color w:val="auto"/>
                <w:szCs w:val="21"/>
              </w:rPr>
            </w:pPr>
            <w:r>
              <w:rPr>
                <w:rFonts w:hint="eastAsia" w:ascii="宋体" w:hAnsi="宋体" w:cs="宋体"/>
                <w:bCs/>
                <w:color w:val="auto"/>
                <w:szCs w:val="21"/>
              </w:rPr>
              <w:t>7</w:t>
            </w:r>
          </w:p>
        </w:tc>
        <w:tc>
          <w:tcPr>
            <w:tcW w:w="3383" w:type="dxa"/>
            <w:noWrap w:val="0"/>
            <w:vAlign w:val="center"/>
          </w:tcPr>
          <w:p>
            <w:pPr>
              <w:wordWrap/>
              <w:topLinePunct w:val="0"/>
              <w:bidi w:val="0"/>
              <w:snapToGrid w:val="0"/>
              <w:spacing w:before="158" w:beforeLines="50" w:line="240" w:lineRule="auto"/>
              <w:textAlignment w:val="auto"/>
              <w:rPr>
                <w:rFonts w:hint="eastAsia" w:ascii="宋体" w:hAnsi="宋体" w:cs="宋体"/>
                <w:bCs/>
                <w:color w:val="auto"/>
                <w:szCs w:val="21"/>
              </w:rPr>
            </w:pPr>
            <w:r>
              <w:rPr>
                <w:rFonts w:hint="eastAsia" w:ascii="宋体" w:hAnsi="宋体" w:cs="宋体"/>
                <w:bCs/>
                <w:color w:val="auto"/>
                <w:szCs w:val="21"/>
              </w:rPr>
              <w:t>制定设备操作规程，保证设备和人员的安全。</w:t>
            </w:r>
          </w:p>
        </w:tc>
        <w:tc>
          <w:tcPr>
            <w:tcW w:w="1985" w:type="dxa"/>
            <w:noWrap w:val="0"/>
            <w:vAlign w:val="center"/>
          </w:tcPr>
          <w:p>
            <w:pPr>
              <w:wordWrap/>
              <w:topLinePunct w:val="0"/>
              <w:bidi w:val="0"/>
              <w:snapToGrid w:val="0"/>
              <w:spacing w:before="158" w:beforeLines="50" w:line="240" w:lineRule="auto"/>
              <w:textAlignment w:val="auto"/>
              <w:rPr>
                <w:rFonts w:hint="eastAsia" w:ascii="宋体" w:hAnsi="宋体" w:cs="宋体"/>
                <w:bCs/>
                <w:color w:val="auto"/>
                <w:szCs w:val="21"/>
              </w:rPr>
            </w:pPr>
            <w:r>
              <w:rPr>
                <w:rFonts w:hint="eastAsia" w:ascii="宋体" w:hAnsi="宋体" w:cs="宋体"/>
                <w:bCs/>
                <w:color w:val="auto"/>
                <w:szCs w:val="21"/>
              </w:rPr>
              <w:t>《</w:t>
            </w:r>
            <w:r>
              <w:rPr>
                <w:rFonts w:hint="eastAsia" w:ascii="宋体" w:hAnsi="宋体" w:cs="宋体"/>
                <w:bCs/>
                <w:color w:val="auto"/>
                <w:szCs w:val="21"/>
                <w:lang w:eastAsia="zh-CN"/>
              </w:rPr>
              <w:t>安全设施设计</w:t>
            </w:r>
            <w:r>
              <w:rPr>
                <w:rFonts w:hint="eastAsia" w:ascii="宋体" w:hAnsi="宋体" w:cs="宋体"/>
                <w:bCs/>
                <w:color w:val="auto"/>
                <w:szCs w:val="21"/>
              </w:rPr>
              <w:t>》</w:t>
            </w:r>
          </w:p>
        </w:tc>
        <w:tc>
          <w:tcPr>
            <w:tcW w:w="1678" w:type="dxa"/>
            <w:noWrap w:val="0"/>
            <w:vAlign w:val="center"/>
          </w:tcPr>
          <w:p>
            <w:pPr>
              <w:wordWrap/>
              <w:topLinePunct w:val="0"/>
              <w:bidi w:val="0"/>
              <w:snapToGrid w:val="0"/>
              <w:spacing w:before="158" w:beforeLines="50" w:line="240" w:lineRule="auto"/>
              <w:textAlignment w:val="auto"/>
              <w:rPr>
                <w:rFonts w:ascii="宋体" w:hAnsi="宋体" w:cs="宋体"/>
                <w:bCs/>
                <w:color w:val="auto"/>
                <w:szCs w:val="21"/>
              </w:rPr>
            </w:pPr>
            <w:r>
              <w:rPr>
                <w:rFonts w:hint="eastAsia" w:ascii="宋体" w:hAnsi="宋体" w:cs="宋体"/>
                <w:bCs/>
                <w:color w:val="auto"/>
                <w:szCs w:val="21"/>
              </w:rPr>
              <w:t>矿山制定有设备操作规程。</w:t>
            </w:r>
          </w:p>
        </w:tc>
        <w:tc>
          <w:tcPr>
            <w:tcW w:w="842" w:type="dxa"/>
            <w:noWrap w:val="0"/>
            <w:vAlign w:val="center"/>
          </w:tcPr>
          <w:p>
            <w:pPr>
              <w:wordWrap/>
              <w:topLinePunct w:val="0"/>
              <w:bidi w:val="0"/>
              <w:snapToGrid w:val="0"/>
              <w:spacing w:before="158" w:beforeLines="50" w:line="240" w:lineRule="auto"/>
              <w:jc w:val="center"/>
              <w:textAlignment w:val="auto"/>
              <w:rPr>
                <w:rFonts w:hint="eastAsia" w:ascii="宋体" w:hAnsi="宋体" w:cs="宋体"/>
                <w:bCs/>
                <w:color w:val="auto"/>
                <w:szCs w:val="21"/>
              </w:rPr>
            </w:pPr>
            <w:r>
              <w:rPr>
                <w:rFonts w:hint="eastAsia" w:ascii="宋体" w:hAnsi="宋体" w:cs="宋体"/>
                <w:bCs/>
                <w:color w:val="auto"/>
                <w:szCs w:val="21"/>
              </w:rPr>
              <w:t>一般项</w:t>
            </w:r>
          </w:p>
        </w:tc>
        <w:tc>
          <w:tcPr>
            <w:tcW w:w="658" w:type="dxa"/>
            <w:noWrap w:val="0"/>
            <w:vAlign w:val="center"/>
          </w:tcPr>
          <w:p>
            <w:pPr>
              <w:wordWrap/>
              <w:topLinePunct w:val="0"/>
              <w:bidi w:val="0"/>
              <w:snapToGrid w:val="0"/>
              <w:spacing w:before="158" w:beforeLines="50" w:line="240" w:lineRule="auto"/>
              <w:jc w:val="center"/>
              <w:textAlignment w:val="auto"/>
              <w:rPr>
                <w:rFonts w:hint="eastAsia" w:ascii="宋体" w:hAnsi="宋体" w:cs="宋体"/>
                <w:bCs/>
                <w:color w:val="auto"/>
                <w:szCs w:val="21"/>
              </w:rPr>
            </w:pPr>
            <w:r>
              <w:rPr>
                <w:rFonts w:hint="eastAsia" w:ascii="宋体" w:hAnsi="宋体" w:cs="宋体"/>
                <w:bCs/>
                <w:color w:val="auto"/>
                <w:szCs w:val="21"/>
              </w:rPr>
              <w:t>符合</w:t>
            </w:r>
          </w:p>
        </w:tc>
      </w:tr>
    </w:tbl>
    <w:p>
      <w:pPr>
        <w:pStyle w:val="46"/>
        <w:bidi w:val="0"/>
        <w:rPr>
          <w:lang w:eastAsia="zh-CN"/>
        </w:rPr>
      </w:pPr>
      <w:bookmarkStart w:id="551" w:name="_Toc28744"/>
      <w:bookmarkStart w:id="552" w:name="_Toc516749075"/>
      <w:bookmarkStart w:id="553" w:name="_Toc102829752"/>
      <w:r>
        <w:rPr>
          <w:rFonts w:hint="eastAsia"/>
          <w:lang w:eastAsia="zh-CN"/>
        </w:rPr>
        <w:t>4</w:t>
      </w:r>
      <w:r>
        <w:rPr>
          <w:lang w:eastAsia="zh-CN"/>
        </w:rPr>
        <w:t>.7.2</w:t>
      </w:r>
      <w:r>
        <w:rPr>
          <w:rFonts w:hint="eastAsia"/>
          <w:lang w:eastAsia="zh-CN"/>
        </w:rPr>
        <w:t>现状与设计吻合性分析</w:t>
      </w:r>
      <w:bookmarkEnd w:id="551"/>
    </w:p>
    <w:p>
      <w:pPr>
        <w:wordWrap/>
        <w:topLinePunct w:val="0"/>
        <w:bidi w:val="0"/>
        <w:spacing w:line="500" w:lineRule="exact"/>
        <w:ind w:firstLine="560" w:firstLineChars="200"/>
        <w:textAlignment w:val="auto"/>
        <w:rPr>
          <w:rFonts w:hint="eastAsia" w:ascii="宋体" w:hAnsi="宋体" w:eastAsia="宋体" w:cs="宋体"/>
          <w:b/>
          <w:bCs/>
          <w:color w:val="auto"/>
          <w:kern w:val="0"/>
          <w:sz w:val="28"/>
          <w:szCs w:val="28"/>
          <w:lang w:val="en-US" w:eastAsia="zh-CN"/>
        </w:rPr>
      </w:pPr>
      <w:r>
        <w:rPr>
          <w:rFonts w:hint="eastAsia" w:ascii="宋体" w:hAnsi="宋体" w:cs="宋体"/>
          <w:b/>
          <w:bCs/>
          <w:color w:val="auto"/>
          <w:kern w:val="0"/>
          <w:sz w:val="28"/>
          <w:szCs w:val="28"/>
          <w:lang w:val="en-US" w:eastAsia="zh-CN"/>
        </w:rPr>
        <w:t>1.</w:t>
      </w:r>
      <w:r>
        <w:rPr>
          <w:rFonts w:hint="eastAsia" w:ascii="宋体" w:hAnsi="宋体" w:eastAsia="宋体" w:cs="宋体"/>
          <w:b/>
          <w:bCs/>
          <w:color w:val="auto"/>
          <w:kern w:val="0"/>
          <w:sz w:val="28"/>
          <w:szCs w:val="28"/>
          <w:lang w:val="en-US" w:eastAsia="zh-CN"/>
        </w:rPr>
        <w:t>设计情况</w:t>
      </w:r>
    </w:p>
    <w:p>
      <w:pPr>
        <w:pStyle w:val="64"/>
        <w:adjustRightInd/>
        <w:spacing w:line="500" w:lineRule="exact"/>
        <w:ind w:firstLine="560" w:firstLineChars="200"/>
        <w:jc w:val="both"/>
        <w:rPr>
          <w:rFonts w:hint="eastAsia" w:ascii="宋体" w:hAnsi="宋体" w:eastAsia="宋体" w:cs="宋体"/>
          <w:color w:val="auto"/>
          <w:kern w:val="2"/>
          <w:sz w:val="28"/>
          <w:lang w:val="sq-AL" w:eastAsia="zh-CN"/>
        </w:rPr>
      </w:pPr>
      <w:r>
        <w:rPr>
          <w:rFonts w:hint="eastAsia" w:ascii="宋体" w:hAnsi="宋体" w:eastAsia="宋体" w:cs="宋体"/>
          <w:color w:val="auto"/>
          <w:kern w:val="2"/>
          <w:sz w:val="28"/>
          <w:lang w:val="sq-AL" w:eastAsia="zh-CN"/>
        </w:rPr>
        <w:t>矿山为从业人员配备了安全帽、防尘口罩、手套等个人劳动防护用品，并督促从业人员正确使用。</w:t>
      </w:r>
    </w:p>
    <w:p>
      <w:pPr>
        <w:pStyle w:val="64"/>
        <w:adjustRightInd/>
        <w:spacing w:line="500" w:lineRule="exact"/>
        <w:ind w:firstLine="560" w:firstLineChars="200"/>
        <w:jc w:val="both"/>
        <w:rPr>
          <w:rFonts w:hint="default" w:ascii="宋体" w:hAnsi="宋体" w:eastAsia="宋体" w:cs="宋体"/>
          <w:b/>
          <w:bCs/>
          <w:color w:val="auto"/>
          <w:kern w:val="2"/>
          <w:sz w:val="28"/>
          <w:lang w:val="en-US" w:eastAsia="zh-CN"/>
        </w:rPr>
      </w:pPr>
      <w:r>
        <w:rPr>
          <w:rFonts w:hint="eastAsia" w:cs="宋体"/>
          <w:b/>
          <w:bCs/>
          <w:color w:val="auto"/>
          <w:kern w:val="2"/>
          <w:sz w:val="28"/>
          <w:lang w:val="en-US" w:eastAsia="zh-CN"/>
        </w:rPr>
        <w:t>2.现状情况</w:t>
      </w:r>
    </w:p>
    <w:p>
      <w:pPr>
        <w:pStyle w:val="64"/>
        <w:adjustRightInd/>
        <w:spacing w:line="500" w:lineRule="exact"/>
        <w:ind w:firstLine="560" w:firstLineChars="200"/>
        <w:jc w:val="both"/>
        <w:rPr>
          <w:rFonts w:hint="eastAsia" w:ascii="宋体" w:hAnsi="宋体" w:eastAsia="宋体" w:cs="宋体"/>
          <w:color w:val="auto"/>
          <w:kern w:val="0"/>
          <w:sz w:val="28"/>
          <w:szCs w:val="28"/>
          <w:lang w:val="en-US" w:eastAsia="zh-CN"/>
        </w:rPr>
      </w:pPr>
      <w:r>
        <w:rPr>
          <w:rFonts w:hint="eastAsia" w:ascii="宋体" w:hAnsi="宋体" w:eastAsia="宋体" w:cs="宋体"/>
          <w:color w:val="auto"/>
          <w:kern w:val="2"/>
          <w:sz w:val="28"/>
          <w:lang w:val="en-US" w:eastAsia="zh-CN"/>
        </w:rPr>
        <w:t>矿山按照</w:t>
      </w:r>
      <w:r>
        <w:rPr>
          <w:rFonts w:hint="eastAsia" w:ascii="宋体" w:hAnsi="宋体" w:eastAsia="宋体" w:cs="宋体"/>
          <w:color w:val="auto"/>
          <w:kern w:val="2"/>
          <w:sz w:val="28"/>
          <w:lang w:val="sq-AL" w:eastAsia="zh-CN"/>
        </w:rPr>
        <w:t>《个体防护装备配备规范 第4部分：非煤矿山》（GB 39800.4-2020）</w:t>
      </w:r>
      <w:r>
        <w:rPr>
          <w:rFonts w:hint="eastAsia" w:ascii="宋体" w:hAnsi="宋体" w:eastAsia="宋体" w:cs="宋体"/>
          <w:color w:val="auto"/>
          <w:kern w:val="2"/>
          <w:sz w:val="28"/>
          <w:lang w:val="en-US" w:eastAsia="zh-CN"/>
        </w:rPr>
        <w:t>的标准为作业人员配备了相应的安全防护用品（如：安全帽、防尘口罩、手套）等，并督促员工在上班期间正确佩戴</w:t>
      </w:r>
      <w:r>
        <w:rPr>
          <w:rFonts w:hint="eastAsia" w:ascii="宋体" w:hAnsi="宋体" w:eastAsia="宋体" w:cs="宋体"/>
          <w:color w:val="auto"/>
          <w:kern w:val="2"/>
          <w:sz w:val="28"/>
        </w:rPr>
        <w:t>。</w:t>
      </w:r>
    </w:p>
    <w:p>
      <w:pPr>
        <w:wordWrap/>
        <w:topLinePunct w:val="0"/>
        <w:bidi w:val="0"/>
        <w:spacing w:line="500" w:lineRule="exact"/>
        <w:ind w:firstLine="560" w:firstLineChars="200"/>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综上所述，个人安全防护符合设计要求</w:t>
      </w:r>
    </w:p>
    <w:p>
      <w:pPr>
        <w:pStyle w:val="46"/>
        <w:bidi w:val="0"/>
        <w:rPr>
          <w:rFonts w:hint="eastAsia"/>
          <w:lang w:val="en-US" w:eastAsia="zh-CN"/>
        </w:rPr>
      </w:pPr>
      <w:bookmarkStart w:id="554" w:name="_Toc16235"/>
      <w:r>
        <w:rPr>
          <w:rFonts w:hint="eastAsia"/>
          <w:lang w:val="en-US" w:eastAsia="zh-CN"/>
        </w:rPr>
        <w:t>4.7.3单元小结</w:t>
      </w:r>
      <w:bookmarkEnd w:id="552"/>
      <w:bookmarkEnd w:id="553"/>
      <w:bookmarkEnd w:id="554"/>
    </w:p>
    <w:p>
      <w:pPr>
        <w:wordWrap/>
        <w:topLinePunct w:val="0"/>
        <w:bidi w:val="0"/>
        <w:spacing w:line="500" w:lineRule="exact"/>
        <w:ind w:firstLine="560" w:firstLineChars="200"/>
        <w:textAlignment w:val="auto"/>
        <w:rPr>
          <w:rFonts w:hint="eastAsia" w:ascii="宋体" w:hAnsi="宋体"/>
          <w:color w:val="auto"/>
          <w:sz w:val="28"/>
          <w:szCs w:val="28"/>
        </w:rPr>
      </w:pPr>
      <w:r>
        <w:rPr>
          <w:rFonts w:hint="eastAsia" w:ascii="宋体" w:hAnsi="宋体" w:eastAsia="宋体" w:cs="宋体"/>
          <w:color w:val="auto"/>
          <w:kern w:val="0"/>
          <w:sz w:val="28"/>
          <w:szCs w:val="28"/>
          <w:lang w:val="en-US" w:eastAsia="zh-CN"/>
        </w:rPr>
        <w:t>矿山已按照《劳动防护用品配备标准（试行）》的标准为作业人员配备了相应的劳保用品（如：安全帽、防护耳塞、口罩、手套）等。并督促员工在上班期间正确佩戴，经评价认为该单元满足安全生产要求。</w:t>
      </w:r>
    </w:p>
    <w:p>
      <w:pPr>
        <w:pStyle w:val="4"/>
        <w:bidi w:val="0"/>
        <w:rPr>
          <w:rFonts w:hint="eastAsia"/>
          <w:lang w:eastAsia="zh-CN"/>
        </w:rPr>
      </w:pPr>
      <w:bookmarkStart w:id="555" w:name="_Toc7543"/>
      <w:bookmarkStart w:id="556" w:name="_Toc8661"/>
      <w:bookmarkStart w:id="557" w:name="_Toc454614340"/>
      <w:bookmarkStart w:id="558" w:name="_Toc516749076"/>
      <w:bookmarkStart w:id="559" w:name="_Toc31585"/>
      <w:bookmarkStart w:id="560" w:name="_Toc26300"/>
      <w:r>
        <w:rPr>
          <w:rFonts w:hint="eastAsia"/>
          <w:lang w:eastAsia="zh-CN"/>
        </w:rPr>
        <w:t>4.8安全标志</w:t>
      </w:r>
      <w:bookmarkEnd w:id="555"/>
      <w:bookmarkEnd w:id="556"/>
      <w:bookmarkEnd w:id="557"/>
      <w:bookmarkEnd w:id="558"/>
      <w:bookmarkEnd w:id="559"/>
      <w:bookmarkEnd w:id="560"/>
    </w:p>
    <w:p>
      <w:pPr>
        <w:pStyle w:val="46"/>
        <w:bidi w:val="0"/>
        <w:rPr>
          <w:rFonts w:hint="eastAsia"/>
        </w:rPr>
      </w:pPr>
      <w:bookmarkStart w:id="561" w:name="_Toc102829754"/>
      <w:bookmarkStart w:id="562" w:name="_Toc516749077"/>
      <w:bookmarkStart w:id="563" w:name="_Toc16842"/>
      <w:r>
        <w:rPr>
          <w:rFonts w:hint="eastAsia"/>
        </w:rPr>
        <w:t>4.8.1安全标志符合性检查</w:t>
      </w:r>
      <w:bookmarkEnd w:id="561"/>
      <w:bookmarkEnd w:id="562"/>
      <w:bookmarkEnd w:id="563"/>
    </w:p>
    <w:p>
      <w:pPr>
        <w:wordWrap/>
        <w:topLinePunct w:val="0"/>
        <w:bidi w:val="0"/>
        <w:spacing w:line="500" w:lineRule="exact"/>
        <w:ind w:firstLine="560" w:firstLineChars="200"/>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根据《安全设施设计》采用安全检查表检查对安全标志进行符合性评价。</w:t>
      </w:r>
    </w:p>
    <w:p>
      <w:pPr>
        <w:wordWrap/>
        <w:topLinePunct w:val="0"/>
        <w:bidi w:val="0"/>
        <w:spacing w:line="360" w:lineRule="auto"/>
        <w:ind w:firstLine="561"/>
        <w:jc w:val="center"/>
        <w:textAlignment w:val="auto"/>
        <w:rPr>
          <w:rFonts w:hint="eastAsia" w:ascii="宋体" w:hAnsi="宋体"/>
          <w:b/>
          <w:color w:val="auto"/>
          <w:sz w:val="24"/>
        </w:rPr>
      </w:pPr>
      <w:r>
        <w:rPr>
          <w:rFonts w:hint="eastAsia" w:ascii="宋体" w:hAnsi="宋体"/>
          <w:b/>
          <w:color w:val="auto"/>
          <w:sz w:val="24"/>
        </w:rPr>
        <w:t>表4-11安全标志符合性检查表</w:t>
      </w:r>
    </w:p>
    <w:tbl>
      <w:tblPr>
        <w:tblStyle w:val="35"/>
        <w:tblW w:w="89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2802"/>
        <w:gridCol w:w="1150"/>
        <w:gridCol w:w="2317"/>
        <w:gridCol w:w="765"/>
        <w:gridCol w:w="688"/>
        <w:gridCol w:w="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19" w:type="dxa"/>
            <w:noWrap w:val="0"/>
            <w:vAlign w:val="center"/>
          </w:tcPr>
          <w:p>
            <w:pPr>
              <w:wordWrap/>
              <w:topLinePunct w:val="0"/>
              <w:bidi w:val="0"/>
              <w:snapToGrid w:val="0"/>
              <w:spacing w:line="240" w:lineRule="auto"/>
              <w:jc w:val="center"/>
              <w:textAlignment w:val="auto"/>
              <w:rPr>
                <w:rFonts w:ascii="宋体" w:hAnsi="宋体"/>
                <w:b/>
                <w:color w:val="auto"/>
                <w:szCs w:val="21"/>
              </w:rPr>
            </w:pPr>
            <w:r>
              <w:rPr>
                <w:rFonts w:ascii="宋体" w:hAnsi="宋体"/>
                <w:b/>
                <w:color w:val="auto"/>
                <w:szCs w:val="21"/>
              </w:rPr>
              <w:t>序号</w:t>
            </w:r>
          </w:p>
        </w:tc>
        <w:tc>
          <w:tcPr>
            <w:tcW w:w="2802" w:type="dxa"/>
            <w:noWrap w:val="0"/>
            <w:vAlign w:val="center"/>
          </w:tcPr>
          <w:p>
            <w:pPr>
              <w:wordWrap/>
              <w:topLinePunct w:val="0"/>
              <w:bidi w:val="0"/>
              <w:snapToGrid w:val="0"/>
              <w:spacing w:line="240" w:lineRule="auto"/>
              <w:jc w:val="center"/>
              <w:textAlignment w:val="auto"/>
              <w:rPr>
                <w:rFonts w:ascii="宋体" w:hAnsi="宋体"/>
                <w:b/>
                <w:color w:val="auto"/>
                <w:szCs w:val="21"/>
              </w:rPr>
            </w:pPr>
            <w:r>
              <w:rPr>
                <w:rFonts w:ascii="宋体" w:hAnsi="宋体"/>
                <w:b/>
                <w:color w:val="auto"/>
                <w:szCs w:val="21"/>
              </w:rPr>
              <w:t>检查内容</w:t>
            </w:r>
          </w:p>
        </w:tc>
        <w:tc>
          <w:tcPr>
            <w:tcW w:w="1150" w:type="dxa"/>
            <w:noWrap w:val="0"/>
            <w:vAlign w:val="center"/>
          </w:tcPr>
          <w:p>
            <w:pPr>
              <w:wordWrap/>
              <w:topLinePunct w:val="0"/>
              <w:bidi w:val="0"/>
              <w:snapToGrid w:val="0"/>
              <w:spacing w:line="240" w:lineRule="auto"/>
              <w:jc w:val="center"/>
              <w:textAlignment w:val="auto"/>
              <w:rPr>
                <w:rFonts w:ascii="宋体" w:hAnsi="宋体"/>
                <w:b/>
                <w:color w:val="auto"/>
                <w:szCs w:val="21"/>
              </w:rPr>
            </w:pPr>
            <w:r>
              <w:rPr>
                <w:rFonts w:ascii="宋体" w:hAnsi="宋体"/>
                <w:b/>
                <w:color w:val="auto"/>
                <w:szCs w:val="21"/>
              </w:rPr>
              <w:t>检查依据</w:t>
            </w:r>
          </w:p>
        </w:tc>
        <w:tc>
          <w:tcPr>
            <w:tcW w:w="2317" w:type="dxa"/>
            <w:noWrap w:val="0"/>
            <w:vAlign w:val="center"/>
          </w:tcPr>
          <w:p>
            <w:pPr>
              <w:wordWrap/>
              <w:topLinePunct w:val="0"/>
              <w:bidi w:val="0"/>
              <w:snapToGrid w:val="0"/>
              <w:spacing w:line="240" w:lineRule="auto"/>
              <w:jc w:val="center"/>
              <w:textAlignment w:val="auto"/>
              <w:rPr>
                <w:rFonts w:ascii="宋体" w:hAnsi="宋体"/>
                <w:b/>
                <w:color w:val="auto"/>
                <w:szCs w:val="21"/>
              </w:rPr>
            </w:pPr>
            <w:r>
              <w:rPr>
                <w:rFonts w:ascii="宋体" w:hAnsi="宋体"/>
                <w:b/>
                <w:color w:val="auto"/>
                <w:szCs w:val="21"/>
              </w:rPr>
              <w:t>实际情况</w:t>
            </w:r>
          </w:p>
        </w:tc>
        <w:tc>
          <w:tcPr>
            <w:tcW w:w="765" w:type="dxa"/>
            <w:noWrap w:val="0"/>
            <w:vAlign w:val="center"/>
          </w:tcPr>
          <w:p>
            <w:pPr>
              <w:pStyle w:val="27"/>
              <w:wordWrap/>
              <w:topLinePunct w:val="0"/>
              <w:bidi w:val="0"/>
              <w:snapToGrid w:val="0"/>
              <w:spacing w:line="240" w:lineRule="auto"/>
              <w:ind w:left="0" w:firstLine="0" w:firstLineChars="0"/>
              <w:jc w:val="center"/>
              <w:textAlignment w:val="auto"/>
              <w:rPr>
                <w:rFonts w:ascii="宋体" w:hAnsi="宋体"/>
                <w:b/>
                <w:color w:val="auto"/>
                <w:sz w:val="21"/>
                <w:szCs w:val="21"/>
              </w:rPr>
            </w:pPr>
            <w:r>
              <w:rPr>
                <w:rFonts w:hint="eastAsia" w:ascii="宋体" w:hAnsi="宋体"/>
                <w:b/>
                <w:color w:val="auto"/>
                <w:sz w:val="21"/>
                <w:szCs w:val="21"/>
              </w:rPr>
              <w:t>安全设施类别</w:t>
            </w:r>
          </w:p>
        </w:tc>
        <w:tc>
          <w:tcPr>
            <w:tcW w:w="688" w:type="dxa"/>
            <w:noWrap w:val="0"/>
            <w:vAlign w:val="center"/>
          </w:tcPr>
          <w:p>
            <w:pPr>
              <w:pStyle w:val="27"/>
              <w:wordWrap/>
              <w:topLinePunct w:val="0"/>
              <w:bidi w:val="0"/>
              <w:snapToGrid w:val="0"/>
              <w:spacing w:line="240" w:lineRule="auto"/>
              <w:ind w:left="0" w:firstLine="0" w:firstLineChars="0"/>
              <w:jc w:val="center"/>
              <w:textAlignment w:val="auto"/>
              <w:rPr>
                <w:rFonts w:hint="eastAsia" w:ascii="宋体" w:hAnsi="宋体" w:eastAsia="宋体"/>
                <w:b/>
                <w:color w:val="auto"/>
                <w:sz w:val="21"/>
                <w:szCs w:val="21"/>
                <w:lang w:eastAsia="zh-CN"/>
              </w:rPr>
            </w:pPr>
            <w:r>
              <w:rPr>
                <w:rFonts w:hint="eastAsia" w:ascii="宋体" w:hAnsi="宋体"/>
                <w:b/>
                <w:color w:val="auto"/>
                <w:sz w:val="21"/>
                <w:szCs w:val="21"/>
              </w:rPr>
              <w:t>检查</w:t>
            </w:r>
            <w:r>
              <w:rPr>
                <w:rFonts w:hint="eastAsia" w:ascii="宋体" w:hAnsi="宋体"/>
                <w:b/>
                <w:color w:val="auto"/>
                <w:sz w:val="21"/>
                <w:szCs w:val="21"/>
                <w:lang w:val="en-US" w:eastAsia="zh-CN"/>
              </w:rPr>
              <w:t>情况</w:t>
            </w:r>
          </w:p>
        </w:tc>
        <w:tc>
          <w:tcPr>
            <w:tcW w:w="701" w:type="dxa"/>
            <w:noWrap w:val="0"/>
            <w:vAlign w:val="center"/>
          </w:tcPr>
          <w:p>
            <w:pPr>
              <w:wordWrap/>
              <w:topLinePunct w:val="0"/>
              <w:bidi w:val="0"/>
              <w:snapToGrid w:val="0"/>
              <w:spacing w:line="240" w:lineRule="auto"/>
              <w:jc w:val="center"/>
              <w:textAlignment w:val="auto"/>
              <w:rPr>
                <w:rFonts w:hint="default" w:ascii="宋体" w:hAnsi="宋体" w:eastAsia="宋体"/>
                <w:b/>
                <w:color w:val="auto"/>
                <w:szCs w:val="21"/>
                <w:lang w:val="en-US" w:eastAsia="zh-CN"/>
              </w:rPr>
            </w:pPr>
            <w:r>
              <w:rPr>
                <w:rFonts w:hint="eastAsia" w:ascii="宋体" w:hAnsi="宋体"/>
                <w:b/>
                <w:color w:val="auto"/>
                <w:szCs w:val="21"/>
                <w:lang w:val="en-US" w:eastAsia="zh-CN"/>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jc w:val="center"/>
        </w:trPr>
        <w:tc>
          <w:tcPr>
            <w:tcW w:w="519" w:type="dxa"/>
            <w:noWrap w:val="0"/>
            <w:vAlign w:val="center"/>
          </w:tcPr>
          <w:p>
            <w:pPr>
              <w:wordWrap/>
              <w:topLinePunct w:val="0"/>
              <w:bidi w:val="0"/>
              <w:snapToGrid w:val="0"/>
              <w:spacing w:line="240" w:lineRule="auto"/>
              <w:jc w:val="center"/>
              <w:textAlignment w:val="auto"/>
              <w:rPr>
                <w:rFonts w:ascii="宋体" w:hAnsi="宋体"/>
                <w:bCs/>
                <w:color w:val="auto"/>
                <w:kern w:val="0"/>
                <w:szCs w:val="21"/>
              </w:rPr>
            </w:pPr>
            <w:r>
              <w:rPr>
                <w:rFonts w:ascii="宋体" w:hAnsi="宋体"/>
                <w:bCs/>
                <w:color w:val="auto"/>
                <w:kern w:val="0"/>
                <w:szCs w:val="21"/>
              </w:rPr>
              <w:t>1</w:t>
            </w:r>
          </w:p>
        </w:tc>
        <w:tc>
          <w:tcPr>
            <w:tcW w:w="2802" w:type="dxa"/>
            <w:noWrap w:val="0"/>
            <w:vAlign w:val="center"/>
          </w:tcPr>
          <w:p>
            <w:pPr>
              <w:wordWrap/>
              <w:topLinePunct w:val="0"/>
              <w:bidi w:val="0"/>
              <w:snapToGrid w:val="0"/>
              <w:spacing w:line="240" w:lineRule="auto"/>
              <w:textAlignment w:val="auto"/>
              <w:rPr>
                <w:rFonts w:hint="eastAsia" w:ascii="宋体" w:hAnsi="宋体" w:cs="Times New Roman"/>
                <w:bCs/>
                <w:color w:val="auto"/>
                <w:kern w:val="0"/>
                <w:szCs w:val="21"/>
                <w:lang w:val="en-US" w:eastAsia="zh-CN"/>
              </w:rPr>
            </w:pPr>
            <w:r>
              <w:rPr>
                <w:rFonts w:hint="eastAsia" w:ascii="宋体" w:hAnsi="宋体" w:cs="Times New Roman"/>
                <w:bCs/>
                <w:color w:val="auto"/>
                <w:kern w:val="0"/>
                <w:szCs w:val="21"/>
                <w:lang w:val="en-US" w:eastAsia="zh-CN"/>
              </w:rPr>
              <w:t>矿山主要危险区域如露天采场、进场路口、变压器、停采区、矿山机械危险部位（例如：传动、转动部位、带电裸露部位等）、矿山边界处及矿区公路等设置的安全警示标志牌。</w:t>
            </w:r>
          </w:p>
          <w:p>
            <w:pPr>
              <w:wordWrap/>
              <w:topLinePunct w:val="0"/>
              <w:bidi w:val="0"/>
              <w:snapToGrid w:val="0"/>
              <w:spacing w:line="240" w:lineRule="auto"/>
              <w:textAlignment w:val="auto"/>
              <w:rPr>
                <w:rFonts w:ascii="宋体" w:hAnsi="宋体"/>
                <w:bCs/>
                <w:color w:val="auto"/>
                <w:kern w:val="0"/>
                <w:szCs w:val="21"/>
              </w:rPr>
            </w:pPr>
          </w:p>
        </w:tc>
        <w:tc>
          <w:tcPr>
            <w:tcW w:w="1150" w:type="dxa"/>
            <w:vMerge w:val="restart"/>
            <w:noWrap w:val="0"/>
            <w:vAlign w:val="center"/>
          </w:tcPr>
          <w:p>
            <w:pPr>
              <w:wordWrap/>
              <w:topLinePunct w:val="0"/>
              <w:bidi w:val="0"/>
              <w:snapToGrid w:val="0"/>
              <w:spacing w:line="240" w:lineRule="auto"/>
              <w:jc w:val="center"/>
              <w:textAlignment w:val="auto"/>
              <w:rPr>
                <w:rFonts w:hint="eastAsia" w:ascii="宋体" w:hAnsi="宋体" w:eastAsia="宋体"/>
                <w:bCs/>
                <w:color w:val="auto"/>
                <w:szCs w:val="21"/>
                <w:lang w:eastAsia="zh-CN"/>
              </w:rPr>
            </w:pPr>
            <w:r>
              <w:rPr>
                <w:rFonts w:hint="eastAsia" w:ascii="宋体" w:hAnsi="宋体" w:eastAsia="宋体" w:cs="Times New Roman"/>
                <w:bCs/>
                <w:color w:val="auto"/>
                <w:kern w:val="0"/>
                <w:szCs w:val="21"/>
              </w:rPr>
              <w:t>《</w:t>
            </w:r>
            <w:r>
              <w:rPr>
                <w:rFonts w:hint="eastAsia" w:ascii="宋体" w:hAnsi="宋体" w:eastAsia="宋体" w:cs="Times New Roman"/>
                <w:bCs/>
                <w:color w:val="auto"/>
                <w:kern w:val="0"/>
                <w:szCs w:val="21"/>
                <w:lang w:eastAsia="zh-CN"/>
              </w:rPr>
              <w:t>安全设施设计</w:t>
            </w:r>
            <w:r>
              <w:rPr>
                <w:rFonts w:hint="eastAsia" w:ascii="宋体" w:hAnsi="宋体" w:eastAsia="宋体" w:cs="Times New Roman"/>
                <w:bCs/>
                <w:color w:val="auto"/>
                <w:kern w:val="0"/>
                <w:szCs w:val="21"/>
              </w:rPr>
              <w:t>》</w:t>
            </w:r>
          </w:p>
        </w:tc>
        <w:tc>
          <w:tcPr>
            <w:tcW w:w="2317" w:type="dxa"/>
            <w:noWrap w:val="0"/>
            <w:vAlign w:val="center"/>
          </w:tcPr>
          <w:p>
            <w:pPr>
              <w:wordWrap/>
              <w:topLinePunct w:val="0"/>
              <w:bidi w:val="0"/>
              <w:snapToGrid w:val="0"/>
              <w:spacing w:line="240" w:lineRule="auto"/>
              <w:textAlignment w:val="auto"/>
              <w:rPr>
                <w:rFonts w:ascii="宋体" w:hAnsi="宋体"/>
                <w:bCs/>
                <w:color w:val="auto"/>
                <w:szCs w:val="21"/>
              </w:rPr>
            </w:pPr>
            <w:r>
              <w:rPr>
                <w:rFonts w:hint="eastAsia" w:ascii="宋体" w:hAnsi="宋体" w:cs="Times New Roman"/>
                <w:bCs/>
                <w:color w:val="auto"/>
                <w:kern w:val="0"/>
                <w:szCs w:val="21"/>
              </w:rPr>
              <w:t>在采场入口设置了</w:t>
            </w:r>
            <w:r>
              <w:rPr>
                <w:rFonts w:hint="eastAsia" w:ascii="宋体" w:hAnsi="宋体" w:cs="Times New Roman"/>
                <w:bCs/>
                <w:color w:val="auto"/>
                <w:kern w:val="0"/>
                <w:szCs w:val="21"/>
                <w:lang w:eastAsia="zh-CN"/>
              </w:rPr>
              <w:t>“</w:t>
            </w:r>
            <w:r>
              <w:rPr>
                <w:rFonts w:hint="eastAsia" w:ascii="宋体" w:hAnsi="宋体" w:cs="Times New Roman"/>
                <w:bCs/>
                <w:color w:val="auto"/>
                <w:kern w:val="0"/>
                <w:szCs w:val="21"/>
                <w:lang w:val="en-US" w:eastAsia="zh-CN"/>
              </w:rPr>
              <w:t>车辆进入厂区，注意安全行驶</w:t>
            </w:r>
            <w:r>
              <w:rPr>
                <w:rFonts w:hint="eastAsia" w:ascii="宋体" w:hAnsi="宋体" w:cs="Times New Roman"/>
                <w:bCs/>
                <w:color w:val="auto"/>
                <w:kern w:val="0"/>
                <w:szCs w:val="21"/>
                <w:lang w:eastAsia="zh-CN"/>
              </w:rPr>
              <w:t>”、</w:t>
            </w:r>
            <w:r>
              <w:rPr>
                <w:rFonts w:hint="eastAsia" w:ascii="宋体" w:hAnsi="宋体" w:cs="Times New Roman"/>
                <w:bCs/>
                <w:color w:val="auto"/>
                <w:kern w:val="0"/>
                <w:szCs w:val="21"/>
              </w:rPr>
              <w:t>“</w:t>
            </w:r>
            <w:r>
              <w:rPr>
                <w:rFonts w:hint="eastAsia" w:ascii="宋体" w:hAnsi="宋体" w:cs="Times New Roman"/>
                <w:bCs/>
                <w:color w:val="auto"/>
                <w:kern w:val="0"/>
                <w:szCs w:val="21"/>
                <w:lang w:val="en-US" w:eastAsia="zh-CN"/>
              </w:rPr>
              <w:t>入场须知</w:t>
            </w:r>
            <w:r>
              <w:rPr>
                <w:rFonts w:hint="eastAsia" w:ascii="宋体" w:hAnsi="宋体" w:cs="Times New Roman"/>
                <w:bCs/>
                <w:color w:val="auto"/>
                <w:kern w:val="0"/>
                <w:szCs w:val="21"/>
              </w:rPr>
              <w:t>”、“</w:t>
            </w:r>
            <w:r>
              <w:rPr>
                <w:rFonts w:hint="eastAsia" w:ascii="宋体" w:hAnsi="宋体" w:cs="Times New Roman"/>
                <w:bCs/>
                <w:color w:val="auto"/>
                <w:kern w:val="0"/>
                <w:szCs w:val="21"/>
                <w:lang w:val="en-US" w:eastAsia="zh-CN"/>
              </w:rPr>
              <w:t>进入施工现场，</w:t>
            </w:r>
            <w:r>
              <w:rPr>
                <w:rFonts w:hint="eastAsia" w:ascii="宋体" w:hAnsi="宋体" w:cs="Times New Roman"/>
                <w:bCs/>
                <w:color w:val="auto"/>
                <w:kern w:val="0"/>
                <w:szCs w:val="21"/>
              </w:rPr>
              <w:t>必须戴安全帽”，</w:t>
            </w:r>
            <w:r>
              <w:rPr>
                <w:rFonts w:hint="eastAsia" w:ascii="宋体" w:hAnsi="宋体" w:cs="Times New Roman"/>
                <w:bCs/>
                <w:color w:val="auto"/>
                <w:kern w:val="0"/>
                <w:szCs w:val="21"/>
                <w:lang w:val="en-US" w:eastAsia="zh-CN"/>
              </w:rPr>
              <w:t>在沉砂池一侧</w:t>
            </w:r>
            <w:r>
              <w:rPr>
                <w:rFonts w:hint="eastAsia" w:ascii="宋体" w:hAnsi="宋体" w:cs="Times New Roman"/>
                <w:bCs/>
                <w:color w:val="auto"/>
                <w:kern w:val="0"/>
                <w:szCs w:val="21"/>
              </w:rPr>
              <w:t>设置了</w:t>
            </w:r>
            <w:r>
              <w:rPr>
                <w:rFonts w:hint="eastAsia" w:ascii="宋体" w:hAnsi="宋体" w:cs="Times New Roman"/>
                <w:bCs/>
                <w:color w:val="auto"/>
                <w:kern w:val="0"/>
                <w:szCs w:val="21"/>
                <w:lang w:eastAsia="zh-CN"/>
              </w:rPr>
              <w:t>“</w:t>
            </w:r>
            <w:r>
              <w:rPr>
                <w:rFonts w:hint="eastAsia" w:ascii="宋体" w:hAnsi="宋体" w:cs="Times New Roman"/>
                <w:bCs/>
                <w:color w:val="auto"/>
                <w:kern w:val="0"/>
                <w:szCs w:val="21"/>
                <w:lang w:val="en-US" w:eastAsia="zh-CN"/>
              </w:rPr>
              <w:t>当心淤泥</w:t>
            </w:r>
            <w:r>
              <w:rPr>
                <w:rFonts w:hint="eastAsia" w:ascii="宋体" w:hAnsi="宋体" w:cs="Times New Roman"/>
                <w:bCs/>
                <w:color w:val="auto"/>
                <w:kern w:val="0"/>
                <w:szCs w:val="21"/>
                <w:lang w:eastAsia="zh-CN"/>
              </w:rPr>
              <w:t>”</w:t>
            </w:r>
            <w:r>
              <w:rPr>
                <w:rFonts w:hint="eastAsia" w:ascii="宋体" w:hAnsi="宋体" w:cs="Times New Roman"/>
                <w:bCs/>
                <w:color w:val="auto"/>
                <w:kern w:val="0"/>
                <w:szCs w:val="21"/>
              </w:rPr>
              <w:t>、“车辆慢行”，采场边坡设置有“边坡危险，请勿靠近”、注意安全”，变压器等处设置“</w:t>
            </w:r>
            <w:r>
              <w:rPr>
                <w:rFonts w:hint="eastAsia" w:ascii="宋体" w:hAnsi="宋体" w:cs="Times New Roman"/>
                <w:bCs/>
                <w:color w:val="auto"/>
                <w:kern w:val="0"/>
                <w:szCs w:val="21"/>
                <w:lang w:val="en-US" w:eastAsia="zh-CN"/>
              </w:rPr>
              <w:t>高压</w:t>
            </w:r>
            <w:r>
              <w:rPr>
                <w:rFonts w:hint="eastAsia" w:ascii="宋体" w:hAnsi="宋体" w:cs="Times New Roman"/>
                <w:bCs/>
                <w:color w:val="auto"/>
                <w:kern w:val="0"/>
                <w:szCs w:val="21"/>
              </w:rPr>
              <w:t>危险</w:t>
            </w:r>
            <w:r>
              <w:rPr>
                <w:rFonts w:hint="eastAsia" w:ascii="宋体" w:hAnsi="宋体" w:cs="Times New Roman"/>
                <w:bCs/>
                <w:color w:val="auto"/>
                <w:kern w:val="0"/>
                <w:szCs w:val="21"/>
                <w:lang w:eastAsia="zh-CN"/>
              </w:rPr>
              <w:t>，</w:t>
            </w:r>
            <w:r>
              <w:rPr>
                <w:rFonts w:hint="eastAsia" w:ascii="宋体" w:hAnsi="宋体" w:cs="Times New Roman"/>
                <w:bCs/>
                <w:color w:val="auto"/>
                <w:kern w:val="0"/>
                <w:szCs w:val="21"/>
                <w:lang w:val="en-US" w:eastAsia="zh-CN"/>
              </w:rPr>
              <w:t>请勿靠近</w:t>
            </w:r>
            <w:r>
              <w:rPr>
                <w:rFonts w:hint="eastAsia" w:ascii="宋体" w:hAnsi="宋体" w:cs="Times New Roman"/>
                <w:bCs/>
                <w:color w:val="auto"/>
                <w:kern w:val="0"/>
                <w:szCs w:val="21"/>
              </w:rPr>
              <w:t>”等安全警示标志，在矿区边界设置了警戒</w:t>
            </w:r>
            <w:r>
              <w:rPr>
                <w:rFonts w:hint="eastAsia" w:ascii="宋体" w:hAnsi="宋体" w:cs="Times New Roman"/>
                <w:bCs/>
                <w:color w:val="auto"/>
                <w:kern w:val="0"/>
                <w:szCs w:val="21"/>
                <w:lang w:val="en-US" w:eastAsia="zh-CN"/>
              </w:rPr>
              <w:t>彩</w:t>
            </w:r>
            <w:r>
              <w:rPr>
                <w:rFonts w:hint="eastAsia" w:ascii="宋体" w:hAnsi="宋体" w:cs="Times New Roman"/>
                <w:bCs/>
                <w:color w:val="auto"/>
                <w:kern w:val="0"/>
                <w:szCs w:val="21"/>
              </w:rPr>
              <w:t>带。</w:t>
            </w:r>
          </w:p>
        </w:tc>
        <w:tc>
          <w:tcPr>
            <w:tcW w:w="765" w:type="dxa"/>
            <w:noWrap w:val="0"/>
            <w:vAlign w:val="center"/>
          </w:tcPr>
          <w:p>
            <w:pPr>
              <w:wordWrap/>
              <w:topLinePunct w:val="0"/>
              <w:bidi w:val="0"/>
              <w:snapToGrid w:val="0"/>
              <w:spacing w:line="240" w:lineRule="auto"/>
              <w:jc w:val="center"/>
              <w:textAlignment w:val="auto"/>
              <w:rPr>
                <w:rFonts w:hint="eastAsia" w:ascii="宋体" w:hAnsi="宋体"/>
                <w:bCs/>
                <w:color w:val="auto"/>
                <w:szCs w:val="21"/>
              </w:rPr>
            </w:pPr>
            <w:r>
              <w:rPr>
                <w:rFonts w:hint="eastAsia" w:ascii="宋体" w:hAnsi="宋体"/>
                <w:bCs/>
                <w:color w:val="auto"/>
                <w:szCs w:val="21"/>
              </w:rPr>
              <w:t>专用</w:t>
            </w:r>
          </w:p>
        </w:tc>
        <w:tc>
          <w:tcPr>
            <w:tcW w:w="688" w:type="dxa"/>
            <w:noWrap w:val="0"/>
            <w:vAlign w:val="center"/>
          </w:tcPr>
          <w:p>
            <w:pPr>
              <w:wordWrap/>
              <w:topLinePunct w:val="0"/>
              <w:bidi w:val="0"/>
              <w:snapToGrid w:val="0"/>
              <w:spacing w:line="240" w:lineRule="auto"/>
              <w:jc w:val="center"/>
              <w:textAlignment w:val="auto"/>
              <w:rPr>
                <w:rFonts w:ascii="宋体" w:hAnsi="宋体"/>
                <w:bCs/>
                <w:color w:val="auto"/>
                <w:szCs w:val="21"/>
              </w:rPr>
            </w:pPr>
            <w:r>
              <w:rPr>
                <w:rFonts w:hint="eastAsia" w:ascii="宋体" w:hAnsi="宋体"/>
                <w:bCs/>
                <w:color w:val="auto"/>
                <w:szCs w:val="21"/>
              </w:rPr>
              <w:t>一般项</w:t>
            </w:r>
          </w:p>
        </w:tc>
        <w:tc>
          <w:tcPr>
            <w:tcW w:w="701" w:type="dxa"/>
            <w:noWrap w:val="0"/>
            <w:vAlign w:val="center"/>
          </w:tcPr>
          <w:p>
            <w:pPr>
              <w:wordWrap/>
              <w:topLinePunct w:val="0"/>
              <w:bidi w:val="0"/>
              <w:snapToGrid w:val="0"/>
              <w:spacing w:line="240" w:lineRule="auto"/>
              <w:jc w:val="center"/>
              <w:textAlignment w:val="auto"/>
              <w:rPr>
                <w:rFonts w:ascii="宋体" w:hAnsi="宋体"/>
                <w:bCs/>
                <w:color w:val="auto"/>
                <w:szCs w:val="21"/>
              </w:rPr>
            </w:pPr>
            <w:r>
              <w:rPr>
                <w:rFonts w:ascii="宋体" w:hAnsi="宋体"/>
                <w:bCs/>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2" w:hRule="atLeast"/>
          <w:jc w:val="center"/>
        </w:trPr>
        <w:tc>
          <w:tcPr>
            <w:tcW w:w="519" w:type="dxa"/>
            <w:noWrap w:val="0"/>
            <w:vAlign w:val="center"/>
          </w:tcPr>
          <w:p>
            <w:pPr>
              <w:wordWrap/>
              <w:topLinePunct w:val="0"/>
              <w:bidi w:val="0"/>
              <w:snapToGrid w:val="0"/>
              <w:spacing w:line="240" w:lineRule="auto"/>
              <w:jc w:val="center"/>
              <w:textAlignment w:val="auto"/>
              <w:rPr>
                <w:rFonts w:ascii="宋体" w:hAnsi="宋体"/>
                <w:bCs/>
                <w:color w:val="auto"/>
                <w:szCs w:val="21"/>
              </w:rPr>
            </w:pPr>
            <w:r>
              <w:rPr>
                <w:rFonts w:hint="eastAsia" w:ascii="宋体" w:hAnsi="宋体"/>
                <w:bCs/>
                <w:color w:val="auto"/>
                <w:szCs w:val="21"/>
              </w:rPr>
              <w:t>2</w:t>
            </w:r>
          </w:p>
        </w:tc>
        <w:tc>
          <w:tcPr>
            <w:tcW w:w="2802" w:type="dxa"/>
            <w:noWrap w:val="0"/>
            <w:vAlign w:val="center"/>
          </w:tcPr>
          <w:p>
            <w:pPr>
              <w:wordWrap/>
              <w:topLinePunct w:val="0"/>
              <w:bidi w:val="0"/>
              <w:snapToGrid w:val="0"/>
              <w:spacing w:line="240" w:lineRule="auto"/>
              <w:textAlignment w:val="auto"/>
              <w:rPr>
                <w:rFonts w:ascii="宋体" w:hAnsi="宋体"/>
                <w:color w:val="auto"/>
                <w:szCs w:val="21"/>
              </w:rPr>
            </w:pPr>
            <w:r>
              <w:rPr>
                <w:rFonts w:ascii="宋体" w:hAnsi="宋体"/>
                <w:color w:val="auto"/>
                <w:szCs w:val="21"/>
              </w:rPr>
              <w:t>矿山可自行或委托外委单位进行现场制作所需安全标志设施，亦可通过相关单位进行批量订做，但其材料、规格、颜色等，应严格按照上述设计中的要求和相应国家标准执行，保证标志的规范性、准确性。</w:t>
            </w:r>
          </w:p>
        </w:tc>
        <w:tc>
          <w:tcPr>
            <w:tcW w:w="1150" w:type="dxa"/>
            <w:vMerge w:val="continue"/>
            <w:noWrap w:val="0"/>
            <w:vAlign w:val="center"/>
          </w:tcPr>
          <w:p>
            <w:pPr>
              <w:wordWrap/>
              <w:topLinePunct w:val="0"/>
              <w:bidi w:val="0"/>
              <w:snapToGrid w:val="0"/>
              <w:spacing w:line="240" w:lineRule="auto"/>
              <w:jc w:val="center"/>
              <w:textAlignment w:val="auto"/>
              <w:rPr>
                <w:rFonts w:hint="eastAsia" w:ascii="宋体" w:hAnsi="宋体" w:eastAsia="宋体"/>
                <w:bCs/>
                <w:color w:val="auto"/>
                <w:kern w:val="0"/>
                <w:szCs w:val="21"/>
                <w:lang w:eastAsia="zh-CN"/>
              </w:rPr>
            </w:pPr>
          </w:p>
        </w:tc>
        <w:tc>
          <w:tcPr>
            <w:tcW w:w="2317" w:type="dxa"/>
            <w:noWrap w:val="0"/>
            <w:vAlign w:val="center"/>
          </w:tcPr>
          <w:p>
            <w:pPr>
              <w:wordWrap/>
              <w:topLinePunct w:val="0"/>
              <w:bidi w:val="0"/>
              <w:snapToGrid w:val="0"/>
              <w:spacing w:line="240" w:lineRule="auto"/>
              <w:textAlignment w:val="auto"/>
              <w:rPr>
                <w:rFonts w:ascii="宋体" w:hAnsi="宋体"/>
                <w:bCs/>
                <w:color w:val="auto"/>
                <w:szCs w:val="21"/>
              </w:rPr>
            </w:pPr>
            <w:r>
              <w:rPr>
                <w:rFonts w:ascii="宋体" w:hAnsi="宋体"/>
                <w:bCs/>
                <w:color w:val="auto"/>
                <w:szCs w:val="21"/>
              </w:rPr>
              <w:t>矿山按《矿山安全标志》（GB14161-2008）订购安全标志设施</w:t>
            </w:r>
            <w:r>
              <w:rPr>
                <w:rFonts w:hint="eastAsia" w:ascii="宋体" w:hAnsi="宋体"/>
                <w:bCs/>
                <w:color w:val="auto"/>
                <w:kern w:val="0"/>
                <w:szCs w:val="21"/>
              </w:rPr>
              <w:t>。</w:t>
            </w:r>
          </w:p>
        </w:tc>
        <w:tc>
          <w:tcPr>
            <w:tcW w:w="765" w:type="dxa"/>
            <w:noWrap w:val="0"/>
            <w:vAlign w:val="center"/>
          </w:tcPr>
          <w:p>
            <w:pPr>
              <w:wordWrap/>
              <w:topLinePunct w:val="0"/>
              <w:bidi w:val="0"/>
              <w:snapToGrid w:val="0"/>
              <w:spacing w:line="240" w:lineRule="auto"/>
              <w:jc w:val="center"/>
              <w:textAlignment w:val="auto"/>
              <w:rPr>
                <w:rFonts w:ascii="宋体" w:hAnsi="宋体"/>
                <w:bCs/>
                <w:color w:val="auto"/>
                <w:szCs w:val="21"/>
              </w:rPr>
            </w:pPr>
            <w:r>
              <w:rPr>
                <w:rFonts w:hint="eastAsia" w:ascii="宋体" w:hAnsi="宋体"/>
                <w:bCs/>
                <w:color w:val="auto"/>
                <w:szCs w:val="21"/>
              </w:rPr>
              <w:t>专用</w:t>
            </w:r>
          </w:p>
        </w:tc>
        <w:tc>
          <w:tcPr>
            <w:tcW w:w="688" w:type="dxa"/>
            <w:noWrap w:val="0"/>
            <w:vAlign w:val="center"/>
          </w:tcPr>
          <w:p>
            <w:pPr>
              <w:wordWrap/>
              <w:topLinePunct w:val="0"/>
              <w:bidi w:val="0"/>
              <w:snapToGrid w:val="0"/>
              <w:spacing w:line="240" w:lineRule="auto"/>
              <w:jc w:val="center"/>
              <w:textAlignment w:val="auto"/>
              <w:rPr>
                <w:rFonts w:ascii="宋体" w:hAnsi="宋体"/>
                <w:bCs/>
                <w:color w:val="auto"/>
                <w:szCs w:val="21"/>
              </w:rPr>
            </w:pPr>
            <w:r>
              <w:rPr>
                <w:rFonts w:hint="eastAsia" w:ascii="宋体" w:hAnsi="宋体"/>
                <w:bCs/>
                <w:color w:val="auto"/>
                <w:szCs w:val="21"/>
              </w:rPr>
              <w:t>一般项</w:t>
            </w:r>
          </w:p>
        </w:tc>
        <w:tc>
          <w:tcPr>
            <w:tcW w:w="701" w:type="dxa"/>
            <w:noWrap w:val="0"/>
            <w:vAlign w:val="center"/>
          </w:tcPr>
          <w:p>
            <w:pPr>
              <w:wordWrap/>
              <w:topLinePunct w:val="0"/>
              <w:bidi w:val="0"/>
              <w:snapToGrid w:val="0"/>
              <w:spacing w:line="240" w:lineRule="auto"/>
              <w:jc w:val="center"/>
              <w:textAlignment w:val="auto"/>
              <w:rPr>
                <w:rFonts w:ascii="宋体" w:hAnsi="宋体"/>
                <w:bCs/>
                <w:color w:val="auto"/>
                <w:szCs w:val="21"/>
              </w:rPr>
            </w:pPr>
            <w:r>
              <w:rPr>
                <w:rFonts w:ascii="宋体" w:hAnsi="宋体"/>
                <w:bCs/>
                <w:color w:val="auto"/>
                <w:szCs w:val="21"/>
              </w:rPr>
              <w:t>符合</w:t>
            </w:r>
          </w:p>
        </w:tc>
      </w:tr>
    </w:tbl>
    <w:p>
      <w:pPr>
        <w:pStyle w:val="46"/>
        <w:bidi w:val="0"/>
        <w:rPr>
          <w:rFonts w:hint="eastAsia"/>
        </w:rPr>
      </w:pPr>
      <w:bookmarkStart w:id="564" w:name="_Toc102829755"/>
      <w:bookmarkStart w:id="565" w:name="_Toc20490"/>
      <w:r>
        <w:rPr>
          <w:rFonts w:hint="eastAsia"/>
        </w:rPr>
        <w:t>4.8.2现状与设计吻合性分析</w:t>
      </w:r>
      <w:bookmarkEnd w:id="564"/>
      <w:bookmarkEnd w:id="565"/>
    </w:p>
    <w:p>
      <w:pPr>
        <w:wordWrap/>
        <w:topLinePunct w:val="0"/>
        <w:bidi w:val="0"/>
        <w:spacing w:line="500" w:lineRule="exact"/>
        <w:ind w:firstLine="560" w:firstLineChars="200"/>
        <w:textAlignment w:val="auto"/>
        <w:outlineLvl w:val="9"/>
        <w:rPr>
          <w:rFonts w:hint="eastAsia" w:ascii="宋体" w:hAnsi="宋体" w:cs="宋体"/>
          <w:b/>
          <w:color w:val="auto"/>
          <w:sz w:val="28"/>
          <w:szCs w:val="28"/>
        </w:rPr>
      </w:pPr>
      <w:r>
        <w:rPr>
          <w:rFonts w:hint="eastAsia" w:ascii="宋体" w:hAnsi="宋体" w:cs="宋体"/>
          <w:b/>
          <w:color w:val="auto"/>
          <w:sz w:val="28"/>
          <w:szCs w:val="28"/>
        </w:rPr>
        <w:t>1</w:t>
      </w:r>
      <w:r>
        <w:rPr>
          <w:rFonts w:hint="eastAsia" w:ascii="宋体" w:hAnsi="宋体" w:cs="宋体"/>
          <w:b/>
          <w:color w:val="auto"/>
          <w:sz w:val="28"/>
          <w:szCs w:val="28"/>
          <w:lang w:eastAsia="zh-CN"/>
        </w:rPr>
        <w:t>.</w:t>
      </w:r>
      <w:r>
        <w:rPr>
          <w:rFonts w:hint="eastAsia" w:ascii="宋体" w:hAnsi="宋体" w:cs="宋体"/>
          <w:b/>
          <w:color w:val="auto"/>
          <w:sz w:val="28"/>
          <w:szCs w:val="28"/>
        </w:rPr>
        <w:t>设计情况</w:t>
      </w:r>
    </w:p>
    <w:p>
      <w:pPr>
        <w:wordWrap/>
        <w:topLinePunct w:val="0"/>
        <w:bidi w:val="0"/>
        <w:spacing w:line="500" w:lineRule="exact"/>
        <w:ind w:firstLine="560" w:firstLineChars="200"/>
        <w:textAlignment w:val="auto"/>
        <w:rPr>
          <w:rFonts w:hint="eastAsia"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矿山主要危险区域如露天采场、进场路口、变压器、停采区、矿山机械危险部位（例如：传动、转动部位、带电裸露部位等）、矿山边界处及矿区公路等设置的安全警示标志牌。</w:t>
      </w:r>
    </w:p>
    <w:p>
      <w:pPr>
        <w:pStyle w:val="64"/>
        <w:adjustRightInd/>
        <w:spacing w:line="500" w:lineRule="exact"/>
        <w:ind w:firstLine="560" w:firstLineChars="200"/>
        <w:jc w:val="both"/>
        <w:rPr>
          <w:rFonts w:hint="default" w:ascii="宋体" w:hAnsi="宋体" w:eastAsia="宋体" w:cs="宋体"/>
          <w:b/>
          <w:bCs/>
          <w:color w:val="auto"/>
          <w:kern w:val="2"/>
          <w:sz w:val="28"/>
          <w:lang w:val="en-US" w:eastAsia="zh-CN"/>
        </w:rPr>
      </w:pPr>
      <w:r>
        <w:rPr>
          <w:rFonts w:hint="eastAsia" w:cs="宋体"/>
          <w:b/>
          <w:bCs/>
          <w:color w:val="auto"/>
          <w:kern w:val="2"/>
          <w:sz w:val="28"/>
          <w:lang w:val="en-US" w:eastAsia="zh-CN"/>
        </w:rPr>
        <w:t>2.现状情况</w:t>
      </w:r>
    </w:p>
    <w:p>
      <w:pPr>
        <w:pStyle w:val="64"/>
        <w:adjustRightInd/>
        <w:spacing w:line="500" w:lineRule="exact"/>
        <w:ind w:firstLine="560" w:firstLineChars="200"/>
        <w:jc w:val="both"/>
        <w:rPr>
          <w:rFonts w:hint="eastAsia" w:ascii="宋体" w:hAnsi="宋体" w:eastAsia="宋体" w:cs="宋体"/>
          <w:color w:val="auto"/>
          <w:kern w:val="2"/>
          <w:sz w:val="28"/>
        </w:rPr>
      </w:pPr>
      <w:r>
        <w:rPr>
          <w:rFonts w:hint="eastAsia" w:ascii="宋体" w:hAnsi="宋体" w:eastAsia="宋体" w:cs="宋体"/>
          <w:color w:val="auto"/>
          <w:kern w:val="2"/>
          <w:sz w:val="28"/>
        </w:rPr>
        <w:t>矿山按《矿山安全标志》（GB14161-2008）和《安全标志及其使用导则》（GB2894-2008）等文件的要求，在采场入口设置了</w:t>
      </w:r>
      <w:r>
        <w:rPr>
          <w:rFonts w:hint="eastAsia" w:ascii="宋体" w:hAnsi="宋体" w:eastAsia="宋体" w:cs="宋体"/>
          <w:color w:val="auto"/>
          <w:kern w:val="2"/>
          <w:sz w:val="28"/>
          <w:lang w:eastAsia="zh-CN"/>
        </w:rPr>
        <w:t>“</w:t>
      </w:r>
      <w:r>
        <w:rPr>
          <w:rFonts w:hint="eastAsia" w:ascii="宋体" w:hAnsi="宋体" w:eastAsia="宋体" w:cs="宋体"/>
          <w:color w:val="auto"/>
          <w:kern w:val="2"/>
          <w:sz w:val="28"/>
          <w:lang w:val="en-US" w:eastAsia="zh-CN"/>
        </w:rPr>
        <w:t>车辆进入厂区，注意安全行驶</w:t>
      </w:r>
      <w:r>
        <w:rPr>
          <w:rFonts w:hint="eastAsia" w:ascii="宋体" w:hAnsi="宋体" w:eastAsia="宋体" w:cs="宋体"/>
          <w:color w:val="auto"/>
          <w:kern w:val="2"/>
          <w:sz w:val="28"/>
          <w:lang w:eastAsia="zh-CN"/>
        </w:rPr>
        <w:t>”、</w:t>
      </w:r>
      <w:r>
        <w:rPr>
          <w:rFonts w:hint="eastAsia" w:ascii="宋体" w:hAnsi="宋体" w:eastAsia="宋体" w:cs="宋体"/>
          <w:color w:val="auto"/>
          <w:kern w:val="2"/>
          <w:sz w:val="28"/>
        </w:rPr>
        <w:t>“</w:t>
      </w:r>
      <w:r>
        <w:rPr>
          <w:rFonts w:hint="eastAsia" w:ascii="宋体" w:hAnsi="宋体" w:eastAsia="宋体" w:cs="宋体"/>
          <w:color w:val="auto"/>
          <w:kern w:val="2"/>
          <w:sz w:val="28"/>
          <w:lang w:val="en-US" w:eastAsia="zh-CN"/>
        </w:rPr>
        <w:t>入场须知</w:t>
      </w:r>
      <w:r>
        <w:rPr>
          <w:rFonts w:hint="eastAsia" w:ascii="宋体" w:hAnsi="宋体" w:eastAsia="宋体" w:cs="宋体"/>
          <w:color w:val="auto"/>
          <w:kern w:val="2"/>
          <w:sz w:val="28"/>
        </w:rPr>
        <w:t>”、“</w:t>
      </w:r>
      <w:r>
        <w:rPr>
          <w:rFonts w:hint="eastAsia" w:ascii="宋体" w:hAnsi="宋体" w:eastAsia="宋体" w:cs="宋体"/>
          <w:color w:val="auto"/>
          <w:kern w:val="2"/>
          <w:sz w:val="28"/>
          <w:lang w:val="en-US" w:eastAsia="zh-CN"/>
        </w:rPr>
        <w:t>进入施工现场，</w:t>
      </w:r>
      <w:r>
        <w:rPr>
          <w:rFonts w:hint="eastAsia" w:ascii="宋体" w:hAnsi="宋体" w:eastAsia="宋体" w:cs="宋体"/>
          <w:color w:val="auto"/>
          <w:kern w:val="2"/>
          <w:sz w:val="28"/>
        </w:rPr>
        <w:t>必须戴安全帽”，</w:t>
      </w:r>
      <w:r>
        <w:rPr>
          <w:rFonts w:hint="eastAsia" w:ascii="宋体" w:hAnsi="宋体" w:eastAsia="宋体" w:cs="宋体"/>
          <w:color w:val="auto"/>
          <w:kern w:val="2"/>
          <w:sz w:val="28"/>
          <w:lang w:val="en-US" w:eastAsia="zh-CN"/>
        </w:rPr>
        <w:t>在沉砂池一侧</w:t>
      </w:r>
      <w:r>
        <w:rPr>
          <w:rFonts w:hint="eastAsia" w:ascii="宋体" w:hAnsi="宋体" w:eastAsia="宋体" w:cs="宋体"/>
          <w:color w:val="auto"/>
          <w:kern w:val="2"/>
          <w:sz w:val="28"/>
        </w:rPr>
        <w:t>设置了</w:t>
      </w:r>
      <w:r>
        <w:rPr>
          <w:rFonts w:hint="eastAsia" w:ascii="宋体" w:hAnsi="宋体" w:eastAsia="宋体" w:cs="宋体"/>
          <w:color w:val="auto"/>
          <w:kern w:val="2"/>
          <w:sz w:val="28"/>
          <w:lang w:eastAsia="zh-CN"/>
        </w:rPr>
        <w:t>“</w:t>
      </w:r>
      <w:r>
        <w:rPr>
          <w:rFonts w:hint="eastAsia" w:ascii="宋体" w:hAnsi="宋体" w:eastAsia="宋体" w:cs="宋体"/>
          <w:color w:val="auto"/>
          <w:kern w:val="2"/>
          <w:sz w:val="28"/>
          <w:lang w:val="en-US" w:eastAsia="zh-CN"/>
        </w:rPr>
        <w:t>当心淤泥</w:t>
      </w:r>
      <w:r>
        <w:rPr>
          <w:rFonts w:hint="eastAsia" w:ascii="宋体" w:hAnsi="宋体" w:eastAsia="宋体" w:cs="宋体"/>
          <w:color w:val="auto"/>
          <w:kern w:val="2"/>
          <w:sz w:val="28"/>
          <w:lang w:eastAsia="zh-CN"/>
        </w:rPr>
        <w:t>”</w:t>
      </w:r>
      <w:r>
        <w:rPr>
          <w:rFonts w:hint="eastAsia" w:ascii="宋体" w:hAnsi="宋体" w:eastAsia="宋体" w:cs="宋体"/>
          <w:color w:val="auto"/>
          <w:kern w:val="2"/>
          <w:sz w:val="28"/>
        </w:rPr>
        <w:t>、“车辆慢行”，采场边坡设置有“边坡危险，请勿靠近”、注意安全”，变压器等处设置“</w:t>
      </w:r>
      <w:r>
        <w:rPr>
          <w:rFonts w:hint="eastAsia" w:ascii="宋体" w:hAnsi="宋体" w:eastAsia="宋体" w:cs="宋体"/>
          <w:color w:val="auto"/>
          <w:kern w:val="2"/>
          <w:sz w:val="28"/>
          <w:lang w:val="en-US" w:eastAsia="zh-CN"/>
        </w:rPr>
        <w:t>高压</w:t>
      </w:r>
      <w:r>
        <w:rPr>
          <w:rFonts w:hint="eastAsia" w:ascii="宋体" w:hAnsi="宋体" w:eastAsia="宋体" w:cs="宋体"/>
          <w:color w:val="auto"/>
          <w:kern w:val="2"/>
          <w:sz w:val="28"/>
        </w:rPr>
        <w:t>危险</w:t>
      </w:r>
      <w:r>
        <w:rPr>
          <w:rFonts w:hint="eastAsia" w:ascii="宋体" w:hAnsi="宋体" w:eastAsia="宋体" w:cs="宋体"/>
          <w:color w:val="auto"/>
          <w:kern w:val="2"/>
          <w:sz w:val="28"/>
          <w:lang w:eastAsia="zh-CN"/>
        </w:rPr>
        <w:t>，</w:t>
      </w:r>
      <w:r>
        <w:rPr>
          <w:rFonts w:hint="eastAsia" w:ascii="宋体" w:hAnsi="宋体" w:eastAsia="宋体" w:cs="宋体"/>
          <w:color w:val="auto"/>
          <w:kern w:val="2"/>
          <w:sz w:val="28"/>
          <w:lang w:val="en-US" w:eastAsia="zh-CN"/>
        </w:rPr>
        <w:t>请勿靠近</w:t>
      </w:r>
      <w:r>
        <w:rPr>
          <w:rFonts w:hint="eastAsia" w:ascii="宋体" w:hAnsi="宋体" w:eastAsia="宋体" w:cs="宋体"/>
          <w:color w:val="auto"/>
          <w:kern w:val="2"/>
          <w:sz w:val="28"/>
        </w:rPr>
        <w:t>”等安全警示标志，在矿区边界设置了警戒</w:t>
      </w:r>
      <w:r>
        <w:rPr>
          <w:rFonts w:hint="eastAsia" w:ascii="宋体" w:hAnsi="宋体" w:eastAsia="宋体" w:cs="宋体"/>
          <w:color w:val="auto"/>
          <w:kern w:val="2"/>
          <w:sz w:val="28"/>
          <w:lang w:val="en-US" w:eastAsia="zh-CN"/>
        </w:rPr>
        <w:t>彩</w:t>
      </w:r>
      <w:r>
        <w:rPr>
          <w:rFonts w:hint="eastAsia" w:ascii="宋体" w:hAnsi="宋体" w:eastAsia="宋体" w:cs="宋体"/>
          <w:color w:val="auto"/>
          <w:kern w:val="2"/>
          <w:sz w:val="28"/>
        </w:rPr>
        <w:t>带。</w:t>
      </w:r>
    </w:p>
    <w:p>
      <w:pPr>
        <w:wordWrap/>
        <w:topLinePunct w:val="0"/>
        <w:bidi w:val="0"/>
        <w:spacing w:line="500" w:lineRule="exact"/>
        <w:ind w:firstLine="560" w:firstLineChars="200"/>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综上所述，安全标志符合设计要求。</w:t>
      </w:r>
    </w:p>
    <w:p>
      <w:pPr>
        <w:pStyle w:val="5"/>
        <w:bidi w:val="0"/>
        <w:rPr>
          <w:rFonts w:hint="eastAsia"/>
        </w:rPr>
      </w:pPr>
      <w:bookmarkStart w:id="566" w:name="_Toc102829756"/>
      <w:bookmarkStart w:id="567" w:name="_Toc20411"/>
      <w:r>
        <w:rPr>
          <w:rFonts w:hint="eastAsia"/>
        </w:rPr>
        <w:t>4.8.3单元存在问题及对策措施</w:t>
      </w:r>
      <w:bookmarkEnd w:id="566"/>
      <w:bookmarkEnd w:id="567"/>
    </w:p>
    <w:p>
      <w:pPr>
        <w:wordWrap/>
        <w:topLinePunct w:val="0"/>
        <w:bidi w:val="0"/>
        <w:spacing w:line="500" w:lineRule="exact"/>
        <w:ind w:firstLine="560" w:firstLineChars="200"/>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存在问题：目前矿区部分安全标志标语缺失，标志牌损坏</w:t>
      </w:r>
      <w:r>
        <w:rPr>
          <w:rFonts w:hint="eastAsia" w:ascii="宋体" w:hAnsi="宋体" w:cs="宋体"/>
          <w:color w:val="auto"/>
          <w:kern w:val="0"/>
          <w:sz w:val="28"/>
          <w:szCs w:val="28"/>
          <w:lang w:val="en-US" w:eastAsia="zh-CN"/>
        </w:rPr>
        <w:t>。</w:t>
      </w:r>
    </w:p>
    <w:p>
      <w:pPr>
        <w:wordWrap/>
        <w:topLinePunct w:val="0"/>
        <w:bidi w:val="0"/>
        <w:snapToGrid w:val="0"/>
        <w:spacing w:line="500" w:lineRule="exact"/>
        <w:ind w:firstLine="560" w:firstLineChars="200"/>
        <w:textAlignment w:val="auto"/>
        <w:rPr>
          <w:rFonts w:hint="eastAsia" w:ascii="宋体" w:hAnsi="宋体"/>
          <w:color w:val="auto"/>
        </w:rPr>
      </w:pPr>
      <w:r>
        <w:rPr>
          <w:rFonts w:hint="eastAsia" w:ascii="宋体" w:hAnsi="宋体" w:eastAsia="宋体" w:cs="宋体"/>
          <w:color w:val="auto"/>
          <w:kern w:val="0"/>
          <w:sz w:val="28"/>
          <w:szCs w:val="28"/>
          <w:lang w:val="en-US" w:eastAsia="zh-CN"/>
        </w:rPr>
        <w:t>对策措施：建议矿山按照《安全标志及其使用导则》GB2894-2008进行补充和完善安全警示标牌。</w:t>
      </w:r>
    </w:p>
    <w:p>
      <w:pPr>
        <w:pStyle w:val="46"/>
        <w:bidi w:val="0"/>
        <w:rPr>
          <w:rFonts w:hint="eastAsia" w:ascii="宋体" w:hAnsi="宋体" w:eastAsia="宋体"/>
          <w:bCs/>
          <w:color w:val="auto"/>
        </w:rPr>
      </w:pPr>
      <w:bookmarkStart w:id="568" w:name="_Toc102829757"/>
      <w:bookmarkStart w:id="569" w:name="_Toc516749078"/>
      <w:bookmarkStart w:id="570" w:name="_Toc30535"/>
      <w:r>
        <w:rPr>
          <w:rFonts w:hint="eastAsia"/>
        </w:rPr>
        <w:t>4.8.4单元小结</w:t>
      </w:r>
      <w:bookmarkEnd w:id="568"/>
      <w:bookmarkEnd w:id="569"/>
      <w:bookmarkEnd w:id="570"/>
    </w:p>
    <w:p>
      <w:pPr>
        <w:wordWrap/>
        <w:topLinePunct w:val="0"/>
        <w:bidi w:val="0"/>
        <w:snapToGrid w:val="0"/>
        <w:spacing w:line="500" w:lineRule="exact"/>
        <w:ind w:firstLine="560" w:firstLineChars="200"/>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经评价认为该单元满足安全生产要求。</w:t>
      </w:r>
    </w:p>
    <w:p>
      <w:pPr>
        <w:pStyle w:val="4"/>
        <w:bidi w:val="0"/>
        <w:rPr>
          <w:rFonts w:hint="eastAsia" w:ascii="宋体" w:hAnsi="宋体" w:eastAsia="宋体" w:cs="Courier New"/>
          <w:color w:val="auto"/>
          <w:szCs w:val="28"/>
          <w:lang w:eastAsia="zh-CN" w:bidi="ar-SA"/>
        </w:rPr>
      </w:pPr>
      <w:bookmarkStart w:id="571" w:name="_Toc23290"/>
      <w:r>
        <w:rPr>
          <w:rFonts w:hint="eastAsia"/>
          <w:lang w:eastAsia="zh-CN"/>
        </w:rPr>
        <w:t>4.</w:t>
      </w:r>
      <w:r>
        <w:rPr>
          <w:rFonts w:hint="eastAsia"/>
          <w:lang w:val="en-US" w:eastAsia="zh-CN"/>
        </w:rPr>
        <w:t>9</w:t>
      </w:r>
      <w:r>
        <w:rPr>
          <w:rFonts w:hint="eastAsia"/>
          <w:lang w:eastAsia="zh-CN"/>
        </w:rPr>
        <w:t>安全管理</w:t>
      </w:r>
      <w:bookmarkEnd w:id="543"/>
      <w:bookmarkEnd w:id="544"/>
      <w:r>
        <w:rPr>
          <w:rFonts w:hint="eastAsia"/>
          <w:lang w:eastAsia="zh-CN"/>
        </w:rPr>
        <w:t>单元</w:t>
      </w:r>
      <w:bookmarkEnd w:id="545"/>
      <w:bookmarkEnd w:id="546"/>
      <w:bookmarkEnd w:id="547"/>
      <w:bookmarkEnd w:id="571"/>
    </w:p>
    <w:p>
      <w:pPr>
        <w:pStyle w:val="46"/>
        <w:bidi w:val="0"/>
        <w:rPr>
          <w:rFonts w:hint="eastAsia"/>
        </w:rPr>
      </w:pPr>
      <w:bookmarkStart w:id="572" w:name="_Toc2090"/>
      <w:bookmarkStart w:id="573" w:name="_Toc438635218"/>
      <w:bookmarkStart w:id="574" w:name="_Toc102829764"/>
      <w:bookmarkStart w:id="575" w:name="_Toc467792824"/>
      <w:bookmarkStart w:id="576" w:name="_Toc502865224"/>
      <w:bookmarkStart w:id="577" w:name="_Toc30286"/>
      <w:r>
        <w:rPr>
          <w:rFonts w:hint="eastAsia"/>
        </w:rPr>
        <w:t>4.</w:t>
      </w:r>
      <w:r>
        <w:rPr>
          <w:rFonts w:hint="eastAsia"/>
          <w:lang w:val="en-US" w:eastAsia="zh-CN"/>
        </w:rPr>
        <w:t>9</w:t>
      </w:r>
      <w:r>
        <w:rPr>
          <w:rFonts w:hint="eastAsia"/>
        </w:rPr>
        <w:t>.1安全管理安全检查表</w:t>
      </w:r>
      <w:bookmarkEnd w:id="572"/>
      <w:bookmarkEnd w:id="573"/>
      <w:bookmarkEnd w:id="574"/>
      <w:bookmarkEnd w:id="575"/>
      <w:bookmarkEnd w:id="576"/>
      <w:bookmarkEnd w:id="577"/>
    </w:p>
    <w:p>
      <w:pPr>
        <w:wordWrap/>
        <w:topLinePunct w:val="0"/>
        <w:bidi w:val="0"/>
        <w:spacing w:line="500" w:lineRule="exact"/>
        <w:ind w:firstLine="560" w:firstLineChars="200"/>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本单元采用安全检查表对管理机构、管理制度、主要负责人和安全管理人员及特种作业人员培训持证上岗、操作规程、职业卫生等安全生产管理方面的建设情况进行是否符合安全法律、法规、规范和标准要求的检查评价。</w:t>
      </w:r>
    </w:p>
    <w:p>
      <w:pPr>
        <w:wordWrap/>
        <w:topLinePunct w:val="0"/>
        <w:bidi w:val="0"/>
        <w:spacing w:line="500" w:lineRule="exact"/>
        <w:ind w:firstLine="560" w:firstLineChars="200"/>
        <w:textAlignment w:val="auto"/>
        <w:rPr>
          <w:rFonts w:hint="eastAsia"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en-US" w:eastAsia="zh-CN"/>
        </w:rPr>
        <w:t>根据《中华人民共和国安全生产法》中的相关条款及对安全管理进行对照检查，见表4-1</w:t>
      </w:r>
      <w:r>
        <w:rPr>
          <w:rFonts w:hint="eastAsia" w:ascii="宋体" w:hAnsi="宋体" w:cs="宋体"/>
          <w:color w:val="auto"/>
          <w:kern w:val="0"/>
          <w:sz w:val="28"/>
          <w:szCs w:val="28"/>
          <w:lang w:val="en-US" w:eastAsia="zh-CN"/>
        </w:rPr>
        <w:t>2</w:t>
      </w:r>
      <w:r>
        <w:rPr>
          <w:rFonts w:hint="eastAsia" w:ascii="宋体" w:hAnsi="宋体" w:eastAsia="宋体" w:cs="宋体"/>
          <w:color w:val="auto"/>
          <w:kern w:val="0"/>
          <w:sz w:val="28"/>
          <w:szCs w:val="28"/>
          <w:lang w:val="en-US" w:eastAsia="zh-CN"/>
        </w:rPr>
        <w:t>。</w:t>
      </w:r>
    </w:p>
    <w:p>
      <w:pPr>
        <w:wordWrap/>
        <w:topLinePunct w:val="0"/>
        <w:bidi w:val="0"/>
        <w:adjustRightInd w:val="0"/>
        <w:snapToGrid w:val="0"/>
        <w:spacing w:line="500" w:lineRule="exact"/>
        <w:jc w:val="center"/>
        <w:textAlignment w:val="auto"/>
        <w:rPr>
          <w:rFonts w:hint="eastAsia" w:ascii="宋体" w:hAnsi="宋体" w:cs="宋体"/>
          <w:b/>
          <w:color w:val="auto"/>
          <w:sz w:val="24"/>
        </w:rPr>
      </w:pPr>
      <w:r>
        <w:rPr>
          <w:rFonts w:hint="eastAsia" w:ascii="宋体" w:hAnsi="宋体" w:cs="宋体"/>
          <w:b/>
          <w:color w:val="auto"/>
          <w:sz w:val="24"/>
        </w:rPr>
        <w:t>表4-1</w:t>
      </w:r>
      <w:r>
        <w:rPr>
          <w:rFonts w:hint="eastAsia" w:ascii="宋体" w:hAnsi="宋体" w:cs="宋体"/>
          <w:b/>
          <w:color w:val="auto"/>
          <w:sz w:val="24"/>
          <w:lang w:val="en-US" w:eastAsia="zh-CN"/>
        </w:rPr>
        <w:t xml:space="preserve">2 </w:t>
      </w:r>
      <w:r>
        <w:rPr>
          <w:rFonts w:hint="eastAsia" w:ascii="宋体" w:hAnsi="宋体" w:cs="宋体"/>
          <w:b/>
          <w:color w:val="auto"/>
          <w:sz w:val="24"/>
        </w:rPr>
        <w:t>安全管理安全检查表</w:t>
      </w:r>
    </w:p>
    <w:tbl>
      <w:tblPr>
        <w:tblStyle w:val="35"/>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1"/>
        <w:gridCol w:w="872"/>
        <w:gridCol w:w="2391"/>
        <w:gridCol w:w="3093"/>
        <w:gridCol w:w="1414"/>
        <w:gridCol w:w="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41" w:type="dxa"/>
            <w:noWrap w:val="0"/>
            <w:vAlign w:val="center"/>
          </w:tcPr>
          <w:p>
            <w:pPr>
              <w:wordWrap/>
              <w:topLinePunct w:val="0"/>
              <w:bidi w:val="0"/>
              <w:spacing w:line="240" w:lineRule="auto"/>
              <w:jc w:val="center"/>
              <w:textAlignment w:val="auto"/>
              <w:rPr>
                <w:rFonts w:hint="eastAsia" w:ascii="宋体" w:hAnsi="宋体" w:cs="宋体"/>
                <w:b/>
                <w:color w:val="auto"/>
                <w:szCs w:val="21"/>
              </w:rPr>
            </w:pPr>
            <w:r>
              <w:rPr>
                <w:rFonts w:hint="eastAsia" w:ascii="宋体" w:hAnsi="宋体" w:cs="宋体"/>
                <w:b/>
                <w:color w:val="auto"/>
                <w:szCs w:val="21"/>
              </w:rPr>
              <w:t>序号</w:t>
            </w:r>
          </w:p>
        </w:tc>
        <w:tc>
          <w:tcPr>
            <w:tcW w:w="872" w:type="dxa"/>
            <w:noWrap w:val="0"/>
            <w:vAlign w:val="center"/>
          </w:tcPr>
          <w:p>
            <w:pPr>
              <w:wordWrap/>
              <w:topLinePunct w:val="0"/>
              <w:bidi w:val="0"/>
              <w:spacing w:line="240" w:lineRule="auto"/>
              <w:jc w:val="center"/>
              <w:textAlignment w:val="auto"/>
              <w:rPr>
                <w:rFonts w:hint="eastAsia" w:ascii="宋体" w:hAnsi="宋体" w:cs="宋体"/>
                <w:b/>
                <w:color w:val="auto"/>
                <w:szCs w:val="21"/>
              </w:rPr>
            </w:pPr>
            <w:r>
              <w:rPr>
                <w:rFonts w:hint="eastAsia" w:ascii="宋体" w:hAnsi="宋体" w:cs="宋体"/>
                <w:b/>
                <w:color w:val="auto"/>
                <w:szCs w:val="21"/>
              </w:rPr>
              <w:t>检查</w:t>
            </w:r>
          </w:p>
          <w:p>
            <w:pPr>
              <w:wordWrap/>
              <w:topLinePunct w:val="0"/>
              <w:bidi w:val="0"/>
              <w:spacing w:line="240" w:lineRule="auto"/>
              <w:jc w:val="center"/>
              <w:textAlignment w:val="auto"/>
              <w:rPr>
                <w:rFonts w:hint="eastAsia" w:ascii="宋体" w:hAnsi="宋体" w:cs="宋体"/>
                <w:b/>
                <w:color w:val="auto"/>
                <w:szCs w:val="21"/>
              </w:rPr>
            </w:pPr>
            <w:r>
              <w:rPr>
                <w:rFonts w:hint="eastAsia" w:ascii="宋体" w:hAnsi="宋体" w:cs="宋体"/>
                <w:b/>
                <w:color w:val="auto"/>
                <w:szCs w:val="21"/>
              </w:rPr>
              <w:t>项目</w:t>
            </w:r>
          </w:p>
        </w:tc>
        <w:tc>
          <w:tcPr>
            <w:tcW w:w="2391" w:type="dxa"/>
            <w:noWrap w:val="0"/>
            <w:vAlign w:val="center"/>
          </w:tcPr>
          <w:p>
            <w:pPr>
              <w:wordWrap/>
              <w:topLinePunct w:val="0"/>
              <w:bidi w:val="0"/>
              <w:spacing w:line="240" w:lineRule="auto"/>
              <w:jc w:val="center"/>
              <w:textAlignment w:val="auto"/>
              <w:rPr>
                <w:rFonts w:hint="eastAsia" w:ascii="宋体" w:hAnsi="宋体" w:cs="宋体"/>
                <w:b/>
                <w:color w:val="auto"/>
                <w:szCs w:val="21"/>
              </w:rPr>
            </w:pPr>
            <w:r>
              <w:rPr>
                <w:rFonts w:hint="eastAsia" w:ascii="宋体" w:hAnsi="宋体" w:cs="宋体"/>
                <w:b/>
                <w:color w:val="auto"/>
                <w:szCs w:val="21"/>
              </w:rPr>
              <w:t>检查内容</w:t>
            </w:r>
          </w:p>
        </w:tc>
        <w:tc>
          <w:tcPr>
            <w:tcW w:w="3093" w:type="dxa"/>
            <w:noWrap w:val="0"/>
            <w:vAlign w:val="center"/>
          </w:tcPr>
          <w:p>
            <w:pPr>
              <w:wordWrap/>
              <w:topLinePunct w:val="0"/>
              <w:bidi w:val="0"/>
              <w:spacing w:line="240" w:lineRule="auto"/>
              <w:jc w:val="center"/>
              <w:textAlignment w:val="auto"/>
              <w:rPr>
                <w:rFonts w:hint="eastAsia" w:ascii="宋体" w:hAnsi="宋体" w:cs="宋体"/>
                <w:b/>
                <w:color w:val="auto"/>
                <w:szCs w:val="21"/>
              </w:rPr>
            </w:pPr>
            <w:r>
              <w:rPr>
                <w:rFonts w:hint="eastAsia" w:ascii="宋体" w:hAnsi="宋体" w:cs="宋体"/>
                <w:b/>
                <w:color w:val="auto"/>
                <w:szCs w:val="21"/>
              </w:rPr>
              <w:t>标准依据</w:t>
            </w:r>
          </w:p>
        </w:tc>
        <w:tc>
          <w:tcPr>
            <w:tcW w:w="1414" w:type="dxa"/>
            <w:noWrap w:val="0"/>
            <w:vAlign w:val="center"/>
          </w:tcPr>
          <w:p>
            <w:pPr>
              <w:wordWrap/>
              <w:topLinePunct w:val="0"/>
              <w:bidi w:val="0"/>
              <w:spacing w:line="240" w:lineRule="auto"/>
              <w:jc w:val="center"/>
              <w:textAlignment w:val="auto"/>
              <w:rPr>
                <w:rFonts w:hint="eastAsia" w:ascii="宋体" w:hAnsi="宋体" w:cs="宋体"/>
                <w:b/>
                <w:color w:val="auto"/>
                <w:szCs w:val="21"/>
              </w:rPr>
            </w:pPr>
            <w:r>
              <w:rPr>
                <w:rFonts w:hint="eastAsia" w:ascii="宋体" w:hAnsi="宋体" w:cs="宋体"/>
                <w:b/>
                <w:color w:val="auto"/>
                <w:szCs w:val="21"/>
              </w:rPr>
              <w:t>检查情况</w:t>
            </w:r>
          </w:p>
        </w:tc>
        <w:tc>
          <w:tcPr>
            <w:tcW w:w="749" w:type="dxa"/>
            <w:noWrap w:val="0"/>
            <w:vAlign w:val="center"/>
          </w:tcPr>
          <w:p>
            <w:pPr>
              <w:wordWrap/>
              <w:topLinePunct w:val="0"/>
              <w:bidi w:val="0"/>
              <w:spacing w:line="240" w:lineRule="auto"/>
              <w:jc w:val="center"/>
              <w:textAlignment w:val="auto"/>
              <w:rPr>
                <w:rFonts w:hint="eastAsia" w:ascii="宋体" w:hAnsi="宋体" w:cs="宋体"/>
                <w:b/>
                <w:color w:val="auto"/>
                <w:szCs w:val="21"/>
              </w:rPr>
            </w:pPr>
            <w:r>
              <w:rPr>
                <w:rFonts w:hint="eastAsia" w:ascii="宋体" w:hAnsi="宋体" w:cs="宋体"/>
                <w:b/>
                <w:color w:val="auto"/>
                <w:szCs w:val="21"/>
              </w:rPr>
              <w:t>检查结论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41"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1</w:t>
            </w:r>
          </w:p>
        </w:tc>
        <w:tc>
          <w:tcPr>
            <w:tcW w:w="872"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安全管理机构</w:t>
            </w:r>
          </w:p>
        </w:tc>
        <w:tc>
          <w:tcPr>
            <w:tcW w:w="2391"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设置安全生产管理机构，或配备专职安全生产管理人员。</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《非煤矿山企业安全生产许可证实施办法》（国家局局长令[2009]20号）第六条</w:t>
            </w:r>
          </w:p>
        </w:tc>
        <w:tc>
          <w:tcPr>
            <w:tcW w:w="1414"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已成立安全管理机构，并配备有专职安全管理人员。</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atLeast"/>
          <w:jc w:val="center"/>
        </w:trPr>
        <w:tc>
          <w:tcPr>
            <w:tcW w:w="541" w:type="dxa"/>
            <w:vMerge w:val="restart"/>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2</w:t>
            </w:r>
          </w:p>
        </w:tc>
        <w:tc>
          <w:tcPr>
            <w:tcW w:w="872" w:type="dxa"/>
            <w:vMerge w:val="restart"/>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安全生产责任制</w:t>
            </w:r>
          </w:p>
        </w:tc>
        <w:tc>
          <w:tcPr>
            <w:tcW w:w="2391"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建立生产经营单位主要负责人岗位责任制</w:t>
            </w:r>
            <w:r>
              <w:rPr>
                <w:rFonts w:hint="eastAsia" w:ascii="宋体" w:hAnsi="宋体" w:cs="宋体"/>
                <w:color w:val="auto"/>
                <w:szCs w:val="21"/>
                <w:lang w:eastAsia="zh-CN"/>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《非煤矿山企业安全生产许可证实施办法》（国家局局长令[2009]20号）</w:t>
            </w:r>
          </w:p>
        </w:tc>
        <w:tc>
          <w:tcPr>
            <w:tcW w:w="1414"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已建立</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atLeast"/>
          <w:jc w:val="center"/>
        </w:trPr>
        <w:tc>
          <w:tcPr>
            <w:tcW w:w="541"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872"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2391"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建立班组长岗位责任制</w:t>
            </w:r>
            <w:r>
              <w:rPr>
                <w:rFonts w:hint="eastAsia" w:ascii="宋体" w:hAnsi="宋体" w:cs="宋体"/>
                <w:color w:val="auto"/>
                <w:szCs w:val="21"/>
                <w:lang w:eastAsia="zh-CN"/>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《非煤矿山企业安全生产许可证实施办法》（国家局局长令[2009]20号）</w:t>
            </w:r>
          </w:p>
        </w:tc>
        <w:tc>
          <w:tcPr>
            <w:tcW w:w="1414"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已建立</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2" w:hRule="atLeast"/>
          <w:jc w:val="center"/>
        </w:trPr>
        <w:tc>
          <w:tcPr>
            <w:tcW w:w="541"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872"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2391"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建立从业人员岗位责任制</w:t>
            </w:r>
            <w:r>
              <w:rPr>
                <w:rFonts w:hint="eastAsia" w:ascii="宋体" w:hAnsi="宋体" w:cs="宋体"/>
                <w:color w:val="auto"/>
                <w:szCs w:val="21"/>
                <w:lang w:eastAsia="zh-CN"/>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《非煤矿山企业安全生产许可证实施办法》（国家局局长令[2009]20号）</w:t>
            </w:r>
          </w:p>
        </w:tc>
        <w:tc>
          <w:tcPr>
            <w:tcW w:w="1414"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已建立</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6" w:hRule="atLeast"/>
          <w:jc w:val="center"/>
        </w:trPr>
        <w:tc>
          <w:tcPr>
            <w:tcW w:w="541" w:type="dxa"/>
            <w:vMerge w:val="restart"/>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3</w:t>
            </w:r>
          </w:p>
        </w:tc>
        <w:tc>
          <w:tcPr>
            <w:tcW w:w="872" w:type="dxa"/>
            <w:vMerge w:val="restart"/>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安全生产管理制度</w:t>
            </w:r>
          </w:p>
        </w:tc>
        <w:tc>
          <w:tcPr>
            <w:tcW w:w="2391"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制定安全检查制度</w:t>
            </w:r>
            <w:r>
              <w:rPr>
                <w:rFonts w:hint="eastAsia" w:ascii="宋体" w:hAnsi="宋体" w:cs="宋体"/>
                <w:color w:val="auto"/>
                <w:szCs w:val="21"/>
                <w:lang w:eastAsia="zh-CN"/>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《非煤矿山企业安全生产许可证实施办法》（国家局局长令[2009]20号）</w:t>
            </w:r>
          </w:p>
        </w:tc>
        <w:tc>
          <w:tcPr>
            <w:tcW w:w="1414"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已建立</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3" w:hRule="atLeast"/>
          <w:jc w:val="center"/>
        </w:trPr>
        <w:tc>
          <w:tcPr>
            <w:tcW w:w="541" w:type="dxa"/>
            <w:vMerge w:val="continue"/>
            <w:noWrap w:val="0"/>
            <w:vAlign w:val="center"/>
          </w:tcPr>
          <w:p>
            <w:pPr>
              <w:wordWrap/>
              <w:topLinePunct w:val="0"/>
              <w:bidi w:val="0"/>
              <w:spacing w:line="240" w:lineRule="auto"/>
              <w:textAlignment w:val="auto"/>
              <w:rPr>
                <w:rFonts w:hint="eastAsia" w:ascii="宋体" w:hAnsi="宋体" w:cs="宋体"/>
                <w:color w:val="auto"/>
                <w:szCs w:val="21"/>
              </w:rPr>
            </w:pPr>
          </w:p>
        </w:tc>
        <w:tc>
          <w:tcPr>
            <w:tcW w:w="872"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2391"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安全生产目标管理及安全生产奖惩制度</w:t>
            </w:r>
            <w:r>
              <w:rPr>
                <w:rFonts w:hint="eastAsia" w:ascii="宋体" w:hAnsi="宋体" w:cs="宋体"/>
                <w:color w:val="auto"/>
                <w:szCs w:val="21"/>
                <w:lang w:eastAsia="zh-CN"/>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《非煤矿山企业安全生产许可证实施办法》（国家局局长令[2009]20号）</w:t>
            </w:r>
          </w:p>
        </w:tc>
        <w:tc>
          <w:tcPr>
            <w:tcW w:w="1414"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已建立</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0" w:hRule="atLeast"/>
          <w:jc w:val="center"/>
        </w:trPr>
        <w:tc>
          <w:tcPr>
            <w:tcW w:w="541" w:type="dxa"/>
            <w:vMerge w:val="continue"/>
            <w:noWrap w:val="0"/>
            <w:vAlign w:val="center"/>
          </w:tcPr>
          <w:p>
            <w:pPr>
              <w:wordWrap/>
              <w:topLinePunct w:val="0"/>
              <w:bidi w:val="0"/>
              <w:spacing w:line="240" w:lineRule="auto"/>
              <w:textAlignment w:val="auto"/>
              <w:rPr>
                <w:rFonts w:hint="eastAsia" w:ascii="宋体" w:hAnsi="宋体" w:cs="宋体"/>
                <w:color w:val="auto"/>
                <w:szCs w:val="21"/>
              </w:rPr>
            </w:pPr>
          </w:p>
        </w:tc>
        <w:tc>
          <w:tcPr>
            <w:tcW w:w="872"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2391"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制定职业危害预防制度</w:t>
            </w:r>
            <w:r>
              <w:rPr>
                <w:rFonts w:hint="eastAsia" w:ascii="宋体" w:hAnsi="宋体" w:cs="宋体"/>
                <w:color w:val="auto"/>
                <w:szCs w:val="21"/>
                <w:lang w:eastAsia="zh-CN"/>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《非煤矿山企业安全生产许可证实施办法》（国家局局长令[2009]20号）</w:t>
            </w:r>
          </w:p>
        </w:tc>
        <w:tc>
          <w:tcPr>
            <w:tcW w:w="1414"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已建立</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9" w:hRule="atLeast"/>
          <w:jc w:val="center"/>
        </w:trPr>
        <w:tc>
          <w:tcPr>
            <w:tcW w:w="541" w:type="dxa"/>
            <w:vMerge w:val="continue"/>
            <w:noWrap w:val="0"/>
            <w:vAlign w:val="center"/>
          </w:tcPr>
          <w:p>
            <w:pPr>
              <w:wordWrap/>
              <w:topLinePunct w:val="0"/>
              <w:bidi w:val="0"/>
              <w:spacing w:line="240" w:lineRule="auto"/>
              <w:textAlignment w:val="auto"/>
              <w:rPr>
                <w:rFonts w:hint="eastAsia" w:ascii="宋体" w:hAnsi="宋体" w:cs="宋体"/>
                <w:color w:val="auto"/>
                <w:szCs w:val="21"/>
              </w:rPr>
            </w:pPr>
          </w:p>
        </w:tc>
        <w:tc>
          <w:tcPr>
            <w:tcW w:w="872"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2391"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制定安全教育培训制度</w:t>
            </w:r>
            <w:r>
              <w:rPr>
                <w:rFonts w:hint="eastAsia" w:ascii="宋体" w:hAnsi="宋体" w:cs="宋体"/>
                <w:color w:val="auto"/>
                <w:szCs w:val="21"/>
                <w:lang w:eastAsia="zh-CN"/>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《非煤矿山企业安全生产许可证实施办法》（国家局局长令[2009]20号）</w:t>
            </w:r>
          </w:p>
        </w:tc>
        <w:tc>
          <w:tcPr>
            <w:tcW w:w="1414"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已建立</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2" w:hRule="atLeast"/>
          <w:jc w:val="center"/>
        </w:trPr>
        <w:tc>
          <w:tcPr>
            <w:tcW w:w="541" w:type="dxa"/>
            <w:vMerge w:val="continue"/>
            <w:noWrap w:val="0"/>
            <w:vAlign w:val="center"/>
          </w:tcPr>
          <w:p>
            <w:pPr>
              <w:wordWrap/>
              <w:topLinePunct w:val="0"/>
              <w:bidi w:val="0"/>
              <w:spacing w:line="240" w:lineRule="auto"/>
              <w:textAlignment w:val="auto"/>
              <w:rPr>
                <w:rFonts w:hint="eastAsia" w:ascii="宋体" w:hAnsi="宋体" w:cs="宋体"/>
                <w:color w:val="auto"/>
                <w:szCs w:val="21"/>
              </w:rPr>
            </w:pPr>
          </w:p>
        </w:tc>
        <w:tc>
          <w:tcPr>
            <w:tcW w:w="872"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2391"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制定安全生产事故管理制度</w:t>
            </w:r>
            <w:r>
              <w:rPr>
                <w:rFonts w:hint="eastAsia" w:ascii="宋体" w:hAnsi="宋体" w:cs="宋体"/>
                <w:color w:val="auto"/>
                <w:szCs w:val="21"/>
                <w:lang w:eastAsia="zh-CN"/>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《非煤矿山企业安全生产许可证实施办法》（国家局局长令[2009]20号）</w:t>
            </w:r>
          </w:p>
        </w:tc>
        <w:tc>
          <w:tcPr>
            <w:tcW w:w="1414"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已建立</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7" w:hRule="atLeast"/>
          <w:jc w:val="center"/>
        </w:trPr>
        <w:tc>
          <w:tcPr>
            <w:tcW w:w="541" w:type="dxa"/>
            <w:vMerge w:val="continue"/>
            <w:noWrap w:val="0"/>
            <w:vAlign w:val="center"/>
          </w:tcPr>
          <w:p>
            <w:pPr>
              <w:wordWrap/>
              <w:topLinePunct w:val="0"/>
              <w:bidi w:val="0"/>
              <w:spacing w:line="240" w:lineRule="auto"/>
              <w:textAlignment w:val="auto"/>
              <w:rPr>
                <w:rFonts w:hint="eastAsia" w:ascii="宋体" w:hAnsi="宋体" w:cs="宋体"/>
                <w:color w:val="auto"/>
                <w:szCs w:val="21"/>
              </w:rPr>
            </w:pPr>
          </w:p>
        </w:tc>
        <w:tc>
          <w:tcPr>
            <w:tcW w:w="872"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2391"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制定重大危险源监控整改管理制度</w:t>
            </w:r>
            <w:r>
              <w:rPr>
                <w:rFonts w:hint="eastAsia" w:ascii="宋体" w:hAnsi="宋体" w:cs="宋体"/>
                <w:color w:val="auto"/>
                <w:szCs w:val="21"/>
                <w:lang w:eastAsia="zh-CN"/>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《非煤矿山企业安全生产许可证实施办法》（国家局局长令[2009]20号）</w:t>
            </w:r>
          </w:p>
        </w:tc>
        <w:tc>
          <w:tcPr>
            <w:tcW w:w="1414"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已建立</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3" w:hRule="atLeast"/>
          <w:jc w:val="center"/>
        </w:trPr>
        <w:tc>
          <w:tcPr>
            <w:tcW w:w="541" w:type="dxa"/>
            <w:vMerge w:val="continue"/>
            <w:noWrap w:val="0"/>
            <w:vAlign w:val="center"/>
          </w:tcPr>
          <w:p>
            <w:pPr>
              <w:wordWrap/>
              <w:topLinePunct w:val="0"/>
              <w:bidi w:val="0"/>
              <w:spacing w:line="240" w:lineRule="auto"/>
              <w:textAlignment w:val="auto"/>
              <w:rPr>
                <w:rFonts w:hint="eastAsia" w:ascii="宋体" w:hAnsi="宋体" w:cs="宋体"/>
                <w:color w:val="auto"/>
                <w:szCs w:val="21"/>
              </w:rPr>
            </w:pPr>
          </w:p>
        </w:tc>
        <w:tc>
          <w:tcPr>
            <w:tcW w:w="872"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2391"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制定重大隐患整改制度</w:t>
            </w:r>
            <w:r>
              <w:rPr>
                <w:rFonts w:hint="eastAsia" w:ascii="宋体" w:hAnsi="宋体" w:cs="宋体"/>
                <w:color w:val="auto"/>
                <w:szCs w:val="21"/>
                <w:lang w:eastAsia="zh-CN"/>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《非煤矿山企业安全生产许可证实施办法》（国家局局长令[2009]20号）</w:t>
            </w:r>
          </w:p>
        </w:tc>
        <w:tc>
          <w:tcPr>
            <w:tcW w:w="1414"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已建立</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8" w:hRule="atLeast"/>
          <w:jc w:val="center"/>
        </w:trPr>
        <w:tc>
          <w:tcPr>
            <w:tcW w:w="541" w:type="dxa"/>
            <w:vMerge w:val="continue"/>
            <w:noWrap w:val="0"/>
            <w:vAlign w:val="center"/>
          </w:tcPr>
          <w:p>
            <w:pPr>
              <w:wordWrap/>
              <w:topLinePunct w:val="0"/>
              <w:bidi w:val="0"/>
              <w:spacing w:line="240" w:lineRule="auto"/>
              <w:textAlignment w:val="auto"/>
              <w:rPr>
                <w:rFonts w:hint="eastAsia" w:ascii="宋体" w:hAnsi="宋体" w:cs="宋体"/>
                <w:color w:val="auto"/>
                <w:szCs w:val="21"/>
              </w:rPr>
            </w:pPr>
          </w:p>
        </w:tc>
        <w:tc>
          <w:tcPr>
            <w:tcW w:w="872"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2391"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制定设备安全管理制度</w:t>
            </w:r>
            <w:r>
              <w:rPr>
                <w:rFonts w:hint="eastAsia" w:ascii="宋体" w:hAnsi="宋体" w:cs="宋体"/>
                <w:color w:val="auto"/>
                <w:szCs w:val="21"/>
                <w:lang w:eastAsia="zh-CN"/>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lang w:val="en-US" w:eastAsia="zh-CN"/>
              </w:rPr>
              <w:t>《中华人民共和国</w:t>
            </w:r>
            <w:r>
              <w:rPr>
                <w:rFonts w:hint="eastAsia" w:ascii="宋体" w:hAnsi="宋体" w:cs="宋体"/>
                <w:color w:val="auto"/>
                <w:szCs w:val="21"/>
              </w:rPr>
              <w:t>安全生产法</w:t>
            </w:r>
            <w:r>
              <w:rPr>
                <w:rFonts w:hint="eastAsia" w:ascii="宋体" w:hAnsi="宋体" w:cs="宋体"/>
                <w:color w:val="auto"/>
                <w:szCs w:val="21"/>
                <w:lang w:eastAsia="zh-CN"/>
              </w:rPr>
              <w:t>》</w:t>
            </w:r>
            <w:r>
              <w:rPr>
                <w:rFonts w:hint="eastAsia" w:ascii="宋体" w:hAnsi="宋体" w:cs="宋体"/>
                <w:color w:val="auto"/>
                <w:szCs w:val="21"/>
              </w:rPr>
              <w:t>第三十五条</w:t>
            </w:r>
          </w:p>
        </w:tc>
        <w:tc>
          <w:tcPr>
            <w:tcW w:w="1414"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已建立</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1" w:type="dxa"/>
            <w:vMerge w:val="continue"/>
            <w:noWrap w:val="0"/>
            <w:vAlign w:val="center"/>
          </w:tcPr>
          <w:p>
            <w:pPr>
              <w:wordWrap/>
              <w:topLinePunct w:val="0"/>
              <w:bidi w:val="0"/>
              <w:spacing w:line="240" w:lineRule="auto"/>
              <w:textAlignment w:val="auto"/>
              <w:rPr>
                <w:rFonts w:hint="eastAsia" w:ascii="宋体" w:hAnsi="宋体" w:cs="宋体"/>
                <w:color w:val="auto"/>
                <w:szCs w:val="21"/>
              </w:rPr>
            </w:pPr>
          </w:p>
        </w:tc>
        <w:tc>
          <w:tcPr>
            <w:tcW w:w="872"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2391"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制定安全生产档案管理制度</w:t>
            </w:r>
            <w:r>
              <w:rPr>
                <w:rFonts w:hint="eastAsia" w:ascii="宋体" w:hAnsi="宋体" w:cs="宋体"/>
                <w:color w:val="auto"/>
                <w:szCs w:val="21"/>
                <w:lang w:eastAsia="zh-CN"/>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《非煤矿山企业安全生产许可证实施办法》（国家局局长令[2009]20号）</w:t>
            </w:r>
          </w:p>
        </w:tc>
        <w:tc>
          <w:tcPr>
            <w:tcW w:w="1414"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已建立</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1" w:type="dxa"/>
            <w:vMerge w:val="continue"/>
            <w:noWrap w:val="0"/>
            <w:vAlign w:val="center"/>
          </w:tcPr>
          <w:p>
            <w:pPr>
              <w:wordWrap/>
              <w:topLinePunct w:val="0"/>
              <w:bidi w:val="0"/>
              <w:spacing w:line="240" w:lineRule="auto"/>
              <w:textAlignment w:val="auto"/>
              <w:rPr>
                <w:rFonts w:hint="eastAsia" w:ascii="宋体" w:hAnsi="宋体" w:cs="宋体"/>
                <w:color w:val="auto"/>
                <w:szCs w:val="21"/>
              </w:rPr>
            </w:pPr>
          </w:p>
        </w:tc>
        <w:tc>
          <w:tcPr>
            <w:tcW w:w="872"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2391"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劳动防护用品管理制度</w:t>
            </w:r>
            <w:r>
              <w:rPr>
                <w:rFonts w:hint="eastAsia" w:ascii="宋体" w:hAnsi="宋体" w:cs="宋体"/>
                <w:color w:val="auto"/>
                <w:szCs w:val="21"/>
                <w:lang w:eastAsia="zh-CN"/>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《非煤矿山企业安全生产许可证实施办法》（国家局局长令[2009]20号）</w:t>
            </w:r>
          </w:p>
        </w:tc>
        <w:tc>
          <w:tcPr>
            <w:tcW w:w="1414"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已建立</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7" w:hRule="atLeast"/>
          <w:jc w:val="center"/>
        </w:trPr>
        <w:tc>
          <w:tcPr>
            <w:tcW w:w="541" w:type="dxa"/>
            <w:vMerge w:val="restart"/>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4</w:t>
            </w:r>
          </w:p>
        </w:tc>
        <w:tc>
          <w:tcPr>
            <w:tcW w:w="872" w:type="dxa"/>
            <w:vMerge w:val="restart"/>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制定安全作业规程和各工种安全操作规程</w:t>
            </w:r>
          </w:p>
        </w:tc>
        <w:tc>
          <w:tcPr>
            <w:tcW w:w="2391"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制定作业安全操作规程</w:t>
            </w:r>
            <w:r>
              <w:rPr>
                <w:rFonts w:hint="eastAsia" w:ascii="宋体" w:hAnsi="宋体" w:cs="宋体"/>
                <w:color w:val="auto"/>
                <w:szCs w:val="21"/>
                <w:lang w:eastAsia="zh-CN"/>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《非煤矿山企业安全生产许可证实施办法》（国家局局长令[2009]20号）</w:t>
            </w:r>
          </w:p>
        </w:tc>
        <w:tc>
          <w:tcPr>
            <w:tcW w:w="1414"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建立有安全操作规程</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1"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872"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2391"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制定各工种安全操作规程</w:t>
            </w:r>
            <w:r>
              <w:rPr>
                <w:rFonts w:hint="eastAsia" w:ascii="宋体" w:hAnsi="宋体" w:cs="宋体"/>
                <w:color w:val="auto"/>
                <w:szCs w:val="21"/>
                <w:lang w:eastAsia="zh-CN"/>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《非煤矿山企业安全生产许可证实施办法》（国家局局长令[2009]20号）</w:t>
            </w:r>
          </w:p>
        </w:tc>
        <w:tc>
          <w:tcPr>
            <w:tcW w:w="1414"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建立各工种安全操作规程</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1" w:type="dxa"/>
            <w:vMerge w:val="restart"/>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5</w:t>
            </w:r>
          </w:p>
        </w:tc>
        <w:tc>
          <w:tcPr>
            <w:tcW w:w="872" w:type="dxa"/>
            <w:vMerge w:val="restart"/>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安全教育培训</w:t>
            </w:r>
          </w:p>
        </w:tc>
        <w:tc>
          <w:tcPr>
            <w:tcW w:w="2391" w:type="dxa"/>
            <w:noWrap w:val="0"/>
            <w:vAlign w:val="center"/>
          </w:tcPr>
          <w:p>
            <w:pPr>
              <w:wordWrap/>
              <w:topLinePunct w:val="0"/>
              <w:bidi w:val="0"/>
              <w:spacing w:line="240" w:lineRule="auto"/>
              <w:textAlignment w:val="auto"/>
              <w:rPr>
                <w:rFonts w:hint="eastAsia" w:ascii="宋体" w:hAnsi="宋体" w:cs="宋体"/>
                <w:color w:val="auto"/>
                <w:szCs w:val="21"/>
              </w:rPr>
            </w:pPr>
            <w:r>
              <w:rPr>
                <w:rFonts w:ascii="宋体" w:hAnsi="宋体" w:cs="宋体"/>
                <w:color w:val="auto"/>
                <w:szCs w:val="21"/>
              </w:rPr>
              <w:t>生产经营单位的主要负责人和安全生产管理人员必须具备与本单位所从事的生产经营活动相应的安全生产知识和管理能力</w:t>
            </w:r>
            <w:r>
              <w:rPr>
                <w:rFonts w:hint="eastAsia" w:ascii="宋体" w:hAnsi="宋体" w:cs="宋体"/>
                <w:color w:val="auto"/>
                <w:szCs w:val="21"/>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lang w:val="en-US" w:eastAsia="zh-CN"/>
              </w:rPr>
              <w:t>《中华人民共和国</w:t>
            </w:r>
            <w:r>
              <w:rPr>
                <w:rFonts w:hint="eastAsia" w:ascii="宋体" w:hAnsi="宋体" w:cs="宋体"/>
                <w:color w:val="auto"/>
                <w:szCs w:val="21"/>
              </w:rPr>
              <w:t>安全生产法</w:t>
            </w:r>
            <w:r>
              <w:rPr>
                <w:rFonts w:hint="eastAsia" w:ascii="宋体" w:hAnsi="宋体" w:cs="宋体"/>
                <w:color w:val="auto"/>
                <w:szCs w:val="21"/>
                <w:lang w:eastAsia="zh-CN"/>
              </w:rPr>
              <w:t>》</w:t>
            </w:r>
            <w:r>
              <w:rPr>
                <w:rFonts w:hint="eastAsia" w:ascii="宋体" w:hAnsi="宋体" w:cs="宋体"/>
                <w:color w:val="auto"/>
                <w:szCs w:val="21"/>
              </w:rPr>
              <w:t>第二十七条</w:t>
            </w:r>
          </w:p>
        </w:tc>
        <w:tc>
          <w:tcPr>
            <w:tcW w:w="1414"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矿山主要负责人、安全管理人员已持证上岗</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4" w:hRule="atLeast"/>
          <w:jc w:val="center"/>
        </w:trPr>
        <w:tc>
          <w:tcPr>
            <w:tcW w:w="541"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872"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2391" w:type="dxa"/>
            <w:noWrap w:val="0"/>
            <w:vAlign w:val="center"/>
          </w:tcPr>
          <w:p>
            <w:pPr>
              <w:wordWrap/>
              <w:topLinePunct w:val="0"/>
              <w:bidi w:val="0"/>
              <w:spacing w:line="240" w:lineRule="auto"/>
              <w:textAlignment w:val="auto"/>
              <w:rPr>
                <w:rFonts w:hint="eastAsia" w:ascii="宋体" w:hAnsi="宋体" w:cs="宋体"/>
                <w:color w:val="auto"/>
                <w:szCs w:val="21"/>
              </w:rPr>
            </w:pPr>
            <w:r>
              <w:rPr>
                <w:rFonts w:ascii="宋体" w:hAnsi="宋体" w:cs="宋体"/>
                <w:color w:val="auto"/>
                <w:szCs w:val="21"/>
              </w:rPr>
              <w:t>生产经营单位的特种作业人员必须按照国家有关规定经专门的安全作业培训，取得相应资格，方可上岗作业</w:t>
            </w:r>
            <w:r>
              <w:rPr>
                <w:rFonts w:hint="eastAsia" w:ascii="宋体" w:hAnsi="宋体" w:cs="宋体"/>
                <w:color w:val="auto"/>
                <w:szCs w:val="21"/>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lang w:val="en-US" w:eastAsia="zh-CN"/>
              </w:rPr>
              <w:t>《中华人民共和国</w:t>
            </w:r>
            <w:r>
              <w:rPr>
                <w:rFonts w:hint="eastAsia" w:ascii="宋体" w:hAnsi="宋体" w:cs="宋体"/>
                <w:color w:val="auto"/>
                <w:szCs w:val="21"/>
              </w:rPr>
              <w:t>安全生产法</w:t>
            </w:r>
            <w:r>
              <w:rPr>
                <w:rFonts w:hint="eastAsia" w:ascii="宋体" w:hAnsi="宋体" w:cs="宋体"/>
                <w:color w:val="auto"/>
                <w:szCs w:val="21"/>
                <w:lang w:eastAsia="zh-CN"/>
              </w:rPr>
              <w:t>》</w:t>
            </w:r>
            <w:r>
              <w:rPr>
                <w:rFonts w:hint="eastAsia" w:ascii="宋体" w:hAnsi="宋体" w:cs="宋体"/>
                <w:color w:val="auto"/>
                <w:szCs w:val="21"/>
              </w:rPr>
              <w:t>第三十条</w:t>
            </w:r>
          </w:p>
        </w:tc>
        <w:tc>
          <w:tcPr>
            <w:tcW w:w="1414" w:type="dxa"/>
            <w:noWrap w:val="0"/>
            <w:vAlign w:val="center"/>
          </w:tcPr>
          <w:p>
            <w:pPr>
              <w:wordWrap/>
              <w:topLinePunct w:val="0"/>
              <w:bidi w:val="0"/>
              <w:spacing w:line="240" w:lineRule="auto"/>
              <w:textAlignment w:val="auto"/>
              <w:rPr>
                <w:rFonts w:hint="default" w:ascii="宋体" w:hAnsi="宋体" w:eastAsia="宋体" w:cs="宋体"/>
                <w:color w:val="auto"/>
                <w:szCs w:val="21"/>
                <w:lang w:val="en-US" w:eastAsia="zh-CN"/>
              </w:rPr>
            </w:pPr>
            <w:r>
              <w:rPr>
                <w:rFonts w:hint="eastAsia" w:ascii="宋体" w:hAnsi="宋体" w:cs="宋体"/>
                <w:color w:val="auto"/>
                <w:szCs w:val="21"/>
                <w:lang w:val="en-US" w:eastAsia="zh-CN"/>
              </w:rPr>
              <w:t>电工、焊工持证上岗</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1"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872"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2391"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ascii="宋体" w:hAnsi="宋体" w:cs="宋体"/>
                <w:color w:val="auto"/>
                <w:szCs w:val="21"/>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r>
              <w:rPr>
                <w:rFonts w:hint="eastAsia" w:ascii="宋体" w:hAnsi="宋体" w:cs="宋体"/>
                <w:color w:val="auto"/>
                <w:szCs w:val="21"/>
                <w:lang w:eastAsia="zh-CN"/>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lang w:val="en-US" w:eastAsia="zh-CN"/>
              </w:rPr>
              <w:t>《中华人民共和国</w:t>
            </w:r>
            <w:r>
              <w:rPr>
                <w:rFonts w:hint="eastAsia" w:ascii="宋体" w:hAnsi="宋体" w:cs="宋体"/>
                <w:color w:val="auto"/>
                <w:szCs w:val="21"/>
              </w:rPr>
              <w:t>安全生产法</w:t>
            </w:r>
            <w:r>
              <w:rPr>
                <w:rFonts w:hint="eastAsia" w:ascii="宋体" w:hAnsi="宋体" w:cs="宋体"/>
                <w:color w:val="auto"/>
                <w:szCs w:val="21"/>
                <w:lang w:eastAsia="zh-CN"/>
              </w:rPr>
              <w:t>》</w:t>
            </w:r>
            <w:r>
              <w:rPr>
                <w:rFonts w:hint="eastAsia" w:ascii="宋体" w:hAnsi="宋体" w:cs="宋体"/>
                <w:color w:val="auto"/>
                <w:szCs w:val="21"/>
              </w:rPr>
              <w:t>第二十八条</w:t>
            </w:r>
          </w:p>
        </w:tc>
        <w:tc>
          <w:tcPr>
            <w:tcW w:w="1414"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有培训记录</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9" w:hRule="atLeast"/>
          <w:jc w:val="center"/>
        </w:trPr>
        <w:tc>
          <w:tcPr>
            <w:tcW w:w="541"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872"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2391"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对在岗人员进行安全再培训和考核</w:t>
            </w:r>
            <w:r>
              <w:rPr>
                <w:rFonts w:hint="eastAsia" w:ascii="宋体" w:hAnsi="宋体" w:cs="宋体"/>
                <w:color w:val="auto"/>
                <w:szCs w:val="21"/>
                <w:lang w:eastAsia="zh-CN"/>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《非煤矿山企业安全生产许可证实施办法》（国家局局长令[2009]20号）</w:t>
            </w:r>
          </w:p>
        </w:tc>
        <w:tc>
          <w:tcPr>
            <w:tcW w:w="1414"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有培训记录</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1"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872" w:type="dxa"/>
            <w:vMerge w:val="continue"/>
            <w:noWrap w:val="0"/>
            <w:vAlign w:val="center"/>
          </w:tcPr>
          <w:p>
            <w:pPr>
              <w:wordWrap/>
              <w:topLinePunct w:val="0"/>
              <w:bidi w:val="0"/>
              <w:spacing w:line="240" w:lineRule="auto"/>
              <w:jc w:val="center"/>
              <w:textAlignment w:val="auto"/>
              <w:rPr>
                <w:rFonts w:hint="eastAsia" w:ascii="宋体" w:hAnsi="宋体" w:cs="宋体"/>
                <w:color w:val="auto"/>
                <w:szCs w:val="21"/>
              </w:rPr>
            </w:pPr>
          </w:p>
        </w:tc>
        <w:tc>
          <w:tcPr>
            <w:tcW w:w="2391" w:type="dxa"/>
            <w:noWrap w:val="0"/>
            <w:vAlign w:val="center"/>
          </w:tcPr>
          <w:p>
            <w:pPr>
              <w:wordWrap/>
              <w:topLinePunct w:val="0"/>
              <w:bidi w:val="0"/>
              <w:spacing w:line="240" w:lineRule="auto"/>
              <w:textAlignment w:val="auto"/>
              <w:rPr>
                <w:rFonts w:hint="eastAsia" w:ascii="宋体" w:hAnsi="宋体" w:cs="宋体"/>
                <w:color w:val="auto"/>
                <w:szCs w:val="21"/>
              </w:rPr>
            </w:pPr>
            <w:r>
              <w:rPr>
                <w:rFonts w:ascii="宋体" w:hAnsi="宋体" w:cs="宋体"/>
                <w:color w:val="auto"/>
                <w:kern w:val="0"/>
                <w:szCs w:val="21"/>
              </w:rPr>
              <w:t>生产经营单位采用新工艺、新技术、新材料或者使用新设备，必须了解、掌握其安全技术特性，采取有效的安全防护措施，并对从业人员进行专门的安全生产教育和培训</w:t>
            </w:r>
            <w:r>
              <w:rPr>
                <w:rFonts w:hint="eastAsia" w:ascii="宋体" w:hAnsi="宋体" w:cs="宋体"/>
                <w:color w:val="auto"/>
                <w:kern w:val="0"/>
                <w:szCs w:val="21"/>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lang w:val="en-US" w:eastAsia="zh-CN"/>
              </w:rPr>
              <w:t>《中华人民共和国</w:t>
            </w:r>
            <w:r>
              <w:rPr>
                <w:rFonts w:hint="eastAsia" w:ascii="宋体" w:hAnsi="宋体" w:cs="宋体"/>
                <w:color w:val="auto"/>
                <w:szCs w:val="21"/>
              </w:rPr>
              <w:t>安全生产法</w:t>
            </w:r>
            <w:r>
              <w:rPr>
                <w:rFonts w:hint="eastAsia" w:ascii="宋体" w:hAnsi="宋体" w:cs="宋体"/>
                <w:color w:val="auto"/>
                <w:szCs w:val="21"/>
                <w:lang w:eastAsia="zh-CN"/>
              </w:rPr>
              <w:t>》</w:t>
            </w:r>
            <w:r>
              <w:rPr>
                <w:rFonts w:hint="eastAsia" w:ascii="宋体" w:hAnsi="宋体" w:cs="宋体"/>
                <w:color w:val="auto"/>
                <w:szCs w:val="21"/>
              </w:rPr>
              <w:t>第二十九条</w:t>
            </w:r>
          </w:p>
        </w:tc>
        <w:tc>
          <w:tcPr>
            <w:tcW w:w="1414"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采用新材料、新设备的工人进行安全技术教育培训</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1"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6</w:t>
            </w:r>
          </w:p>
        </w:tc>
        <w:tc>
          <w:tcPr>
            <w:tcW w:w="872"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事故预防及应急处理</w:t>
            </w:r>
          </w:p>
        </w:tc>
        <w:tc>
          <w:tcPr>
            <w:tcW w:w="2391"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ascii="宋体" w:hAnsi="宋体" w:cs="宋体"/>
                <w:color w:val="auto"/>
                <w:szCs w:val="21"/>
              </w:rPr>
              <w:t>生产经营单位应当制定本单位生产安全事故应急救援预案，与所在地县级以上地方人民政府组织制定的生产安全事故应急救援预案相衔接，并定期组织演练</w:t>
            </w:r>
            <w:r>
              <w:rPr>
                <w:rFonts w:hint="eastAsia" w:ascii="宋体" w:hAnsi="宋体" w:cs="宋体"/>
                <w:color w:val="auto"/>
                <w:szCs w:val="21"/>
                <w:lang w:eastAsia="zh-CN"/>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lang w:val="en-US" w:eastAsia="zh-CN"/>
              </w:rPr>
              <w:t>《中华人民共和国</w:t>
            </w:r>
            <w:r>
              <w:rPr>
                <w:rFonts w:hint="eastAsia" w:ascii="宋体" w:hAnsi="宋体" w:cs="宋体"/>
                <w:color w:val="auto"/>
                <w:szCs w:val="21"/>
              </w:rPr>
              <w:t>安全生产法</w:t>
            </w:r>
            <w:r>
              <w:rPr>
                <w:rFonts w:hint="eastAsia" w:ascii="宋体" w:hAnsi="宋体" w:cs="宋体"/>
                <w:color w:val="auto"/>
                <w:szCs w:val="21"/>
                <w:lang w:eastAsia="zh-CN"/>
              </w:rPr>
              <w:t>》</w:t>
            </w:r>
            <w:r>
              <w:rPr>
                <w:rFonts w:hint="eastAsia" w:ascii="宋体" w:hAnsi="宋体" w:cs="宋体"/>
                <w:color w:val="auto"/>
                <w:szCs w:val="21"/>
              </w:rPr>
              <w:t>第八十一条</w:t>
            </w:r>
          </w:p>
        </w:tc>
        <w:tc>
          <w:tcPr>
            <w:tcW w:w="1414"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已编制了事故应急救援预案，经过评审，且到应急管理部门进行备案。</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1"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7</w:t>
            </w:r>
          </w:p>
        </w:tc>
        <w:tc>
          <w:tcPr>
            <w:tcW w:w="872"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应急救援装备和物资</w:t>
            </w:r>
          </w:p>
        </w:tc>
        <w:tc>
          <w:tcPr>
            <w:tcW w:w="2391"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矿山</w:t>
            </w:r>
            <w:r>
              <w:rPr>
                <w:rFonts w:ascii="宋体" w:hAnsi="宋体" w:cs="宋体"/>
                <w:color w:val="auto"/>
                <w:szCs w:val="21"/>
              </w:rPr>
              <w:t>应当配备必要的应急救援器材、设备和物资，并进行经常性维护、保养，保证正常运转</w:t>
            </w:r>
            <w:r>
              <w:rPr>
                <w:rFonts w:hint="eastAsia" w:ascii="宋体" w:hAnsi="宋体" w:cs="宋体"/>
                <w:color w:val="auto"/>
                <w:szCs w:val="21"/>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lang w:val="en-US" w:eastAsia="zh-CN"/>
              </w:rPr>
              <w:t>《中华人民共和国</w:t>
            </w:r>
            <w:r>
              <w:rPr>
                <w:rFonts w:hint="eastAsia" w:ascii="宋体" w:hAnsi="宋体" w:cs="宋体"/>
                <w:color w:val="auto"/>
                <w:szCs w:val="21"/>
              </w:rPr>
              <w:t>安全生产法</w:t>
            </w:r>
            <w:r>
              <w:rPr>
                <w:rFonts w:hint="eastAsia" w:ascii="宋体" w:hAnsi="宋体" w:cs="宋体"/>
                <w:color w:val="auto"/>
                <w:szCs w:val="21"/>
                <w:lang w:eastAsia="zh-CN"/>
              </w:rPr>
              <w:t>》</w:t>
            </w:r>
            <w:r>
              <w:rPr>
                <w:rFonts w:hint="eastAsia" w:ascii="宋体" w:hAnsi="宋体" w:cs="宋体"/>
                <w:color w:val="auto"/>
                <w:szCs w:val="21"/>
              </w:rPr>
              <w:t>第八十二条</w:t>
            </w:r>
          </w:p>
        </w:tc>
        <w:tc>
          <w:tcPr>
            <w:tcW w:w="1414"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储备了应急救援器材、设备和物资，并进行经常性维护、保养，保证正常运转。</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1" w:type="dxa"/>
            <w:noWrap w:val="0"/>
            <w:vAlign w:val="center"/>
          </w:tcPr>
          <w:p>
            <w:pPr>
              <w:wordWrap/>
              <w:topLinePunct w:val="0"/>
              <w:bidi w:val="0"/>
              <w:spacing w:line="240" w:lineRule="auto"/>
              <w:jc w:val="center"/>
              <w:textAlignment w:val="auto"/>
              <w:rPr>
                <w:rFonts w:ascii="宋体" w:hAnsi="宋体" w:cs="宋体"/>
                <w:color w:val="auto"/>
                <w:szCs w:val="21"/>
              </w:rPr>
            </w:pPr>
            <w:r>
              <w:rPr>
                <w:rFonts w:hint="eastAsia" w:ascii="宋体" w:hAnsi="宋体" w:cs="宋体"/>
                <w:color w:val="auto"/>
                <w:szCs w:val="21"/>
              </w:rPr>
              <w:t>8</w:t>
            </w:r>
          </w:p>
        </w:tc>
        <w:tc>
          <w:tcPr>
            <w:tcW w:w="872" w:type="dxa"/>
            <w:noWrap w:val="0"/>
            <w:vAlign w:val="center"/>
          </w:tcPr>
          <w:p>
            <w:pPr>
              <w:wordWrap/>
              <w:topLinePunct w:val="0"/>
              <w:bidi w:val="0"/>
              <w:spacing w:line="240" w:lineRule="auto"/>
              <w:jc w:val="center"/>
              <w:textAlignment w:val="auto"/>
              <w:rPr>
                <w:rFonts w:ascii="宋体" w:hAnsi="宋体" w:cs="宋体"/>
                <w:color w:val="auto"/>
                <w:szCs w:val="21"/>
              </w:rPr>
            </w:pPr>
            <w:r>
              <w:rPr>
                <w:rFonts w:hint="eastAsia" w:ascii="宋体" w:hAnsi="宋体" w:cs="宋体"/>
                <w:color w:val="auto"/>
                <w:szCs w:val="21"/>
              </w:rPr>
              <w:t>生产事故应急管理</w:t>
            </w:r>
          </w:p>
        </w:tc>
        <w:tc>
          <w:tcPr>
            <w:tcW w:w="2391"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生产经营单位未制定生产安全事故应急救援预案、未定期组织应急救援预案演练、未对从业人员进行应急教育和培训，生产经营单位的主要负责人在本单位发生生产安全事故时不立即组织抢救的，由县级以上人民政府负有安全生产监督管理职责的部门依照《中华人民共和国安全生产法》有关规定追究法律责任。</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lang w:eastAsia="zh-CN"/>
              </w:rPr>
              <w:t>《</w:t>
            </w:r>
            <w:r>
              <w:rPr>
                <w:rFonts w:hint="eastAsia" w:ascii="宋体" w:hAnsi="宋体" w:cs="宋体"/>
                <w:color w:val="auto"/>
                <w:szCs w:val="21"/>
              </w:rPr>
              <w:t>生产安全事故应急条例</w:t>
            </w:r>
            <w:r>
              <w:rPr>
                <w:rFonts w:hint="eastAsia" w:ascii="宋体" w:hAnsi="宋体" w:cs="宋体"/>
                <w:color w:val="auto"/>
                <w:szCs w:val="21"/>
                <w:lang w:eastAsia="zh-CN"/>
              </w:rPr>
              <w:t>》</w:t>
            </w:r>
            <w:r>
              <w:rPr>
                <w:rFonts w:hint="eastAsia" w:ascii="宋体" w:hAnsi="宋体" w:cs="宋体"/>
                <w:color w:val="auto"/>
                <w:szCs w:val="21"/>
              </w:rPr>
              <w:t>第三十条</w:t>
            </w:r>
          </w:p>
        </w:tc>
        <w:tc>
          <w:tcPr>
            <w:tcW w:w="1414"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现场指导企业后已开始制定演练计划，组织应急救援预案演练</w:t>
            </w:r>
            <w:r>
              <w:rPr>
                <w:rFonts w:hint="eastAsia" w:ascii="宋体" w:hAnsi="宋体" w:cs="宋体"/>
                <w:color w:val="auto"/>
                <w:szCs w:val="21"/>
                <w:lang w:eastAsia="zh-CN"/>
              </w:rPr>
              <w:t>。</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7" w:hRule="atLeast"/>
          <w:jc w:val="center"/>
        </w:trPr>
        <w:tc>
          <w:tcPr>
            <w:tcW w:w="541"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9</w:t>
            </w:r>
          </w:p>
        </w:tc>
        <w:tc>
          <w:tcPr>
            <w:tcW w:w="872"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隐患</w:t>
            </w:r>
          </w:p>
          <w:p>
            <w:pPr>
              <w:wordWrap/>
              <w:topLinePunct w:val="0"/>
              <w:bidi w:val="0"/>
              <w:spacing w:line="240" w:lineRule="auto"/>
              <w:jc w:val="center"/>
              <w:textAlignment w:val="auto"/>
              <w:rPr>
                <w:rFonts w:ascii="宋体" w:hAnsi="宋体" w:cs="宋体"/>
                <w:color w:val="auto"/>
                <w:szCs w:val="21"/>
              </w:rPr>
            </w:pPr>
            <w:r>
              <w:rPr>
                <w:rFonts w:hint="eastAsia" w:ascii="宋体" w:hAnsi="宋体" w:cs="宋体"/>
                <w:color w:val="auto"/>
                <w:szCs w:val="21"/>
              </w:rPr>
              <w:t>整改</w:t>
            </w:r>
          </w:p>
        </w:tc>
        <w:tc>
          <w:tcPr>
            <w:tcW w:w="2391"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执行事故隐患报告、监控、整改规定</w:t>
            </w:r>
            <w:r>
              <w:rPr>
                <w:rFonts w:hint="eastAsia" w:ascii="宋体" w:hAnsi="宋体" w:cs="宋体"/>
                <w:color w:val="auto"/>
                <w:szCs w:val="21"/>
                <w:lang w:eastAsia="zh-CN"/>
              </w:rPr>
              <w:t>。</w:t>
            </w:r>
          </w:p>
        </w:tc>
        <w:tc>
          <w:tcPr>
            <w:tcW w:w="3093" w:type="dxa"/>
            <w:noWrap w:val="0"/>
            <w:vAlign w:val="center"/>
          </w:tcPr>
          <w:p>
            <w:pPr>
              <w:wordWrap/>
              <w:topLinePunct w:val="0"/>
              <w:bidi w:val="0"/>
              <w:spacing w:line="240" w:lineRule="auto"/>
              <w:textAlignment w:val="auto"/>
              <w:rPr>
                <w:rFonts w:hint="eastAsia" w:ascii="宋体" w:hAnsi="宋体" w:cs="宋体"/>
                <w:color w:val="auto"/>
                <w:szCs w:val="21"/>
              </w:rPr>
            </w:pPr>
            <w:r>
              <w:rPr>
                <w:rFonts w:hint="eastAsia" w:ascii="宋体" w:hAnsi="宋体" w:cs="宋体"/>
                <w:color w:val="auto"/>
                <w:szCs w:val="21"/>
              </w:rPr>
              <w:t>《非煤矿山企业安全生产许可证实施办法》（国家局局长令[2009]20号）</w:t>
            </w:r>
          </w:p>
        </w:tc>
        <w:tc>
          <w:tcPr>
            <w:tcW w:w="1414"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已执行相关规定</w:t>
            </w:r>
            <w:r>
              <w:rPr>
                <w:rFonts w:hint="eastAsia" w:ascii="宋体" w:hAnsi="宋体" w:cs="宋体"/>
                <w:color w:val="auto"/>
                <w:szCs w:val="21"/>
                <w:lang w:eastAsia="zh-CN"/>
              </w:rPr>
              <w:t>。</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1" w:type="dxa"/>
            <w:noWrap w:val="0"/>
            <w:vAlign w:val="center"/>
          </w:tcPr>
          <w:p>
            <w:pPr>
              <w:wordWrap/>
              <w:topLinePunct w:val="0"/>
              <w:bidi w:val="0"/>
              <w:spacing w:line="240" w:lineRule="auto"/>
              <w:jc w:val="center"/>
              <w:textAlignment w:val="auto"/>
              <w:rPr>
                <w:rFonts w:ascii="宋体" w:hAnsi="宋体" w:cs="宋体"/>
                <w:color w:val="auto"/>
                <w:szCs w:val="21"/>
              </w:rPr>
            </w:pPr>
            <w:r>
              <w:rPr>
                <w:rFonts w:hint="eastAsia" w:ascii="宋体" w:hAnsi="宋体" w:cs="宋体"/>
                <w:color w:val="auto"/>
                <w:szCs w:val="21"/>
              </w:rPr>
              <w:t>10</w:t>
            </w:r>
          </w:p>
        </w:tc>
        <w:tc>
          <w:tcPr>
            <w:tcW w:w="872"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工伤</w:t>
            </w:r>
          </w:p>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保险</w:t>
            </w:r>
          </w:p>
        </w:tc>
        <w:tc>
          <w:tcPr>
            <w:tcW w:w="2391"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应按规定为从业人员办理工伤保险，并缴纳保险费用</w:t>
            </w:r>
            <w:r>
              <w:rPr>
                <w:rFonts w:hint="eastAsia" w:ascii="宋体" w:hAnsi="宋体" w:cs="宋体"/>
                <w:color w:val="auto"/>
                <w:szCs w:val="21"/>
                <w:lang w:eastAsia="zh-CN"/>
              </w:rPr>
              <w:t>。</w:t>
            </w:r>
          </w:p>
        </w:tc>
        <w:tc>
          <w:tcPr>
            <w:tcW w:w="3093"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lang w:eastAsia="zh-CN"/>
              </w:rPr>
              <w:t>《</w:t>
            </w:r>
            <w:r>
              <w:rPr>
                <w:rFonts w:hint="eastAsia" w:ascii="宋体" w:hAnsi="宋体" w:cs="宋体"/>
                <w:color w:val="auto"/>
                <w:szCs w:val="21"/>
              </w:rPr>
              <w:t>工伤保险条例</w:t>
            </w:r>
            <w:r>
              <w:rPr>
                <w:rFonts w:hint="eastAsia" w:ascii="宋体" w:hAnsi="宋体" w:cs="宋体"/>
                <w:color w:val="auto"/>
                <w:szCs w:val="21"/>
                <w:lang w:eastAsia="zh-CN"/>
              </w:rPr>
              <w:t>》</w:t>
            </w:r>
          </w:p>
        </w:tc>
        <w:tc>
          <w:tcPr>
            <w:tcW w:w="1414" w:type="dxa"/>
            <w:noWrap w:val="0"/>
            <w:vAlign w:val="center"/>
          </w:tcPr>
          <w:p>
            <w:pPr>
              <w:wordWrap/>
              <w:topLinePunct w:val="0"/>
              <w:bidi w:val="0"/>
              <w:spacing w:line="240" w:lineRule="auto"/>
              <w:textAlignment w:val="auto"/>
              <w:rPr>
                <w:rFonts w:hint="eastAsia" w:ascii="宋体" w:hAnsi="宋体" w:eastAsia="宋体" w:cs="宋体"/>
                <w:color w:val="auto"/>
                <w:szCs w:val="21"/>
                <w:lang w:eastAsia="zh-CN"/>
              </w:rPr>
            </w:pPr>
            <w:r>
              <w:rPr>
                <w:rFonts w:hint="eastAsia" w:ascii="宋体" w:hAnsi="宋体" w:cs="宋体"/>
                <w:color w:val="auto"/>
                <w:szCs w:val="21"/>
              </w:rPr>
              <w:t>为从业人员购买</w:t>
            </w:r>
            <w:r>
              <w:rPr>
                <w:rFonts w:hint="eastAsia" w:ascii="宋体" w:hAnsi="宋体" w:cs="宋体"/>
                <w:color w:val="auto"/>
                <w:szCs w:val="21"/>
                <w:lang w:val="en-US" w:eastAsia="zh-CN"/>
              </w:rPr>
              <w:t>了工伤保险</w:t>
            </w:r>
          </w:p>
        </w:tc>
        <w:tc>
          <w:tcPr>
            <w:tcW w:w="749" w:type="dxa"/>
            <w:noWrap w:val="0"/>
            <w:vAlign w:val="center"/>
          </w:tcPr>
          <w:p>
            <w:pPr>
              <w:wordWrap/>
              <w:topLinePunct w:val="0"/>
              <w:bidi w:val="0"/>
              <w:spacing w:line="240" w:lineRule="auto"/>
              <w:jc w:val="center"/>
              <w:textAlignment w:val="auto"/>
              <w:rPr>
                <w:rFonts w:hint="eastAsia" w:ascii="宋体" w:hAnsi="宋体" w:cs="宋体"/>
                <w:color w:val="auto"/>
                <w:szCs w:val="21"/>
              </w:rPr>
            </w:pPr>
            <w:r>
              <w:rPr>
                <w:rFonts w:hint="eastAsia" w:ascii="宋体" w:hAnsi="宋体" w:cs="宋体"/>
                <w:color w:val="auto"/>
                <w:szCs w:val="21"/>
              </w:rPr>
              <w:t>符合</w:t>
            </w:r>
          </w:p>
        </w:tc>
      </w:tr>
    </w:tbl>
    <w:p>
      <w:pPr>
        <w:pStyle w:val="5"/>
        <w:bidi w:val="0"/>
        <w:rPr>
          <w:rFonts w:hint="eastAsia" w:ascii="宋体" w:hAnsi="宋体" w:eastAsia="宋体" w:cs="宋体"/>
          <w:color w:val="auto"/>
          <w:kern w:val="0"/>
          <w:szCs w:val="28"/>
          <w:lang w:val="zh-CN" w:eastAsia="zh-CN"/>
        </w:rPr>
      </w:pPr>
      <w:bookmarkStart w:id="578" w:name="_Toc102829765"/>
      <w:bookmarkStart w:id="579" w:name="_Toc4283"/>
      <w:r>
        <w:rPr>
          <w:rFonts w:hint="eastAsia"/>
        </w:rPr>
        <w:t>4.</w:t>
      </w:r>
      <w:r>
        <w:rPr>
          <w:rFonts w:hint="eastAsia"/>
          <w:lang w:val="en-US" w:eastAsia="zh-CN"/>
        </w:rPr>
        <w:t>9</w:t>
      </w:r>
      <w:r>
        <w:rPr>
          <w:rFonts w:hint="eastAsia"/>
        </w:rPr>
        <w:t>.2现状吻合性分析</w:t>
      </w:r>
      <w:bookmarkEnd w:id="578"/>
      <w:bookmarkEnd w:id="579"/>
    </w:p>
    <w:p>
      <w:pPr>
        <w:wordWrap/>
        <w:topLinePunct w:val="0"/>
        <w:bidi w:val="0"/>
        <w:spacing w:line="500" w:lineRule="exact"/>
        <w:ind w:firstLine="560" w:firstLineChars="200"/>
        <w:textAlignment w:val="auto"/>
        <w:outlineLvl w:val="9"/>
        <w:rPr>
          <w:rFonts w:hint="eastAsia" w:ascii="宋体" w:hAnsi="宋体" w:eastAsia="宋体" w:cs="宋体"/>
          <w:color w:val="auto"/>
          <w:kern w:val="0"/>
          <w:sz w:val="28"/>
          <w:szCs w:val="28"/>
          <w:lang w:val="zh-CN" w:eastAsia="zh-CN"/>
        </w:rPr>
      </w:pPr>
      <w:r>
        <w:rPr>
          <w:rFonts w:hint="eastAsia" w:ascii="宋体" w:hAnsi="宋体" w:eastAsia="宋体" w:cs="宋体"/>
          <w:color w:val="auto"/>
          <w:kern w:val="0"/>
          <w:sz w:val="28"/>
          <w:szCs w:val="28"/>
          <w:lang w:val="zh-CN" w:eastAsia="zh-CN"/>
        </w:rPr>
        <w:t>1.安全管理组织机构</w:t>
      </w:r>
    </w:p>
    <w:p>
      <w:pPr>
        <w:wordWrap/>
        <w:topLinePunct w:val="0"/>
        <w:bidi w:val="0"/>
        <w:spacing w:line="500" w:lineRule="exact"/>
        <w:ind w:firstLine="560" w:firstLineChars="200"/>
        <w:textAlignment w:val="auto"/>
        <w:rPr>
          <w:rFonts w:hint="eastAsia" w:ascii="宋体" w:hAnsi="宋体" w:eastAsia="宋体" w:cs="宋体"/>
          <w:color w:val="auto"/>
          <w:kern w:val="0"/>
          <w:sz w:val="28"/>
          <w:szCs w:val="28"/>
          <w:lang w:val="zh-CN" w:eastAsia="zh-CN"/>
        </w:rPr>
      </w:pPr>
      <w:r>
        <w:rPr>
          <w:rFonts w:hint="eastAsia" w:ascii="宋体" w:hAnsi="宋体" w:eastAsia="宋体" w:cs="宋体"/>
          <w:color w:val="auto"/>
          <w:kern w:val="0"/>
          <w:sz w:val="28"/>
          <w:szCs w:val="28"/>
          <w:lang w:val="zh-CN" w:eastAsia="zh-CN"/>
        </w:rPr>
        <w:t>矿山</w:t>
      </w:r>
      <w:r>
        <w:rPr>
          <w:rFonts w:hint="eastAsia" w:ascii="宋体" w:hAnsi="宋体" w:cs="宋体"/>
          <w:color w:val="auto"/>
          <w:kern w:val="0"/>
          <w:sz w:val="28"/>
          <w:szCs w:val="28"/>
          <w:lang w:val="en-US" w:eastAsia="zh-CN"/>
        </w:rPr>
        <w:t>设置了</w:t>
      </w:r>
      <w:r>
        <w:rPr>
          <w:rFonts w:hint="eastAsia" w:ascii="宋体" w:hAnsi="宋体" w:eastAsia="宋体" w:cs="宋体"/>
          <w:color w:val="auto"/>
          <w:kern w:val="0"/>
          <w:sz w:val="28"/>
          <w:szCs w:val="28"/>
          <w:lang w:val="zh-CN" w:eastAsia="zh-CN"/>
        </w:rPr>
        <w:t>全生产管理机构，配备了安全管理人员。</w:t>
      </w:r>
    </w:p>
    <w:p>
      <w:pPr>
        <w:wordWrap/>
        <w:topLinePunct w:val="0"/>
        <w:bidi w:val="0"/>
        <w:spacing w:line="500" w:lineRule="exact"/>
        <w:ind w:firstLine="560" w:firstLineChars="200"/>
        <w:textAlignment w:val="auto"/>
        <w:outlineLvl w:val="9"/>
        <w:rPr>
          <w:rFonts w:hint="eastAsia" w:ascii="宋体" w:hAnsi="宋体" w:eastAsia="宋体" w:cs="宋体"/>
          <w:color w:val="auto"/>
          <w:kern w:val="0"/>
          <w:sz w:val="28"/>
          <w:szCs w:val="28"/>
          <w:lang w:val="zh-CN" w:eastAsia="zh-CN"/>
        </w:rPr>
      </w:pPr>
      <w:r>
        <w:rPr>
          <w:rFonts w:hint="eastAsia" w:ascii="宋体" w:hAnsi="宋体" w:eastAsia="宋体" w:cs="宋体"/>
          <w:color w:val="auto"/>
          <w:kern w:val="0"/>
          <w:sz w:val="28"/>
          <w:szCs w:val="28"/>
          <w:lang w:val="zh-CN" w:eastAsia="zh-CN"/>
        </w:rPr>
        <w:t>2.安全生产责任制、安全管理制度及安全操作规程</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zh-CN" w:eastAsia="zh-CN"/>
        </w:rPr>
      </w:pPr>
      <w:r>
        <w:rPr>
          <w:rFonts w:hint="eastAsia" w:ascii="宋体" w:hAnsi="宋体" w:eastAsia="宋体" w:cs="宋体"/>
          <w:color w:val="auto"/>
          <w:kern w:val="0"/>
          <w:sz w:val="28"/>
          <w:szCs w:val="28"/>
          <w:lang w:val="zh-CN" w:eastAsia="zh-CN"/>
        </w:rPr>
        <w:t>矿山制订安全生产责任制、安全生产管理制度和安全操作规程，能满足企业的安全生产要求，制定了主要负责人、安全负责人等的职责，但还需根据矿山的实际情况进一步补充和完善安全管理制度与安全生产责任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kern w:val="0"/>
          <w:sz w:val="28"/>
          <w:szCs w:val="28"/>
          <w:lang w:val="zh-CN" w:eastAsia="zh-CN"/>
        </w:rPr>
      </w:pPr>
      <w:r>
        <w:rPr>
          <w:rFonts w:hint="eastAsia" w:ascii="宋体" w:hAnsi="宋体" w:eastAsia="宋体" w:cs="宋体"/>
          <w:color w:val="auto"/>
          <w:kern w:val="0"/>
          <w:sz w:val="28"/>
          <w:szCs w:val="28"/>
          <w:lang w:val="zh-CN" w:eastAsia="zh-CN"/>
        </w:rPr>
        <w:t>3.安全管理工作执行情况</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zh-CN" w:eastAsia="zh-CN"/>
        </w:rPr>
      </w:pPr>
      <w:r>
        <w:rPr>
          <w:rFonts w:hint="eastAsia" w:ascii="宋体" w:hAnsi="宋体" w:eastAsia="宋体" w:cs="宋体"/>
          <w:color w:val="auto"/>
          <w:kern w:val="0"/>
          <w:sz w:val="28"/>
          <w:szCs w:val="28"/>
          <w:lang w:val="zh-CN" w:eastAsia="zh-CN"/>
        </w:rPr>
        <w:t>该企业基本落实了各级安全生产责任制，在从业人员进行安全生产教育和培训方面做了工作，为从业人员提供了一定的劳动防护用品，为从业人员</w:t>
      </w:r>
      <w:r>
        <w:rPr>
          <w:rFonts w:hint="eastAsia" w:ascii="宋体" w:hAnsi="宋体" w:cs="宋体"/>
          <w:color w:val="auto"/>
          <w:kern w:val="0"/>
          <w:sz w:val="28"/>
          <w:szCs w:val="28"/>
          <w:lang w:val="en-US" w:eastAsia="zh-CN"/>
        </w:rPr>
        <w:t>购买了工伤保险和</w:t>
      </w:r>
      <w:r>
        <w:rPr>
          <w:rFonts w:hint="eastAsia" w:ascii="宋体" w:hAnsi="宋体" w:eastAsia="宋体" w:cs="宋体"/>
          <w:color w:val="auto"/>
          <w:kern w:val="0"/>
          <w:sz w:val="28"/>
          <w:szCs w:val="28"/>
          <w:lang w:val="en-US" w:eastAsia="zh-CN"/>
        </w:rPr>
        <w:t>安全生产责任</w:t>
      </w:r>
      <w:r>
        <w:rPr>
          <w:rFonts w:hint="eastAsia" w:ascii="宋体" w:hAnsi="宋体" w:eastAsia="宋体" w:cs="宋体"/>
          <w:color w:val="auto"/>
          <w:kern w:val="0"/>
          <w:sz w:val="28"/>
          <w:szCs w:val="28"/>
          <w:lang w:val="zh-CN" w:eastAsia="zh-CN"/>
        </w:rPr>
        <w:t>保险。</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zh-CN" w:eastAsia="zh-CN"/>
        </w:rPr>
      </w:pPr>
      <w:r>
        <w:rPr>
          <w:rFonts w:hint="eastAsia" w:ascii="宋体" w:hAnsi="宋体" w:eastAsia="宋体" w:cs="宋体"/>
          <w:color w:val="auto"/>
          <w:kern w:val="0"/>
          <w:sz w:val="28"/>
          <w:szCs w:val="28"/>
          <w:lang w:val="zh-CN" w:eastAsia="zh-CN"/>
        </w:rPr>
        <w:t>该企业安全生产责任制、安全生产管理制度和安全操作规程，总体能满足企业的安全生产要求，但需逐步完善，并将安全生产管理工作贯穿于生产的全过程。</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宋体"/>
          <w:color w:val="auto"/>
          <w:kern w:val="0"/>
          <w:sz w:val="28"/>
          <w:szCs w:val="28"/>
          <w:lang w:val="zh-CN" w:eastAsia="zh-CN"/>
        </w:rPr>
      </w:pPr>
      <w:r>
        <w:rPr>
          <w:rFonts w:hint="eastAsia" w:ascii="宋体" w:hAnsi="宋体" w:eastAsia="宋体" w:cs="宋体"/>
          <w:color w:val="auto"/>
          <w:kern w:val="0"/>
          <w:sz w:val="28"/>
          <w:szCs w:val="28"/>
          <w:lang w:val="zh-CN" w:eastAsia="zh-CN"/>
        </w:rPr>
        <w:t>4.事故应急救援预案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zh-CN" w:eastAsia="zh-CN"/>
        </w:rPr>
      </w:pPr>
      <w:r>
        <w:rPr>
          <w:rFonts w:hint="eastAsia" w:ascii="宋体" w:hAnsi="宋体" w:eastAsia="宋体" w:cs="宋体"/>
          <w:color w:val="auto"/>
          <w:kern w:val="0"/>
          <w:sz w:val="28"/>
          <w:szCs w:val="28"/>
          <w:lang w:val="zh-CN" w:eastAsia="zh-CN"/>
        </w:rPr>
        <w:t>矿山编制了《生产安全事故应急预案》。矿山成立了应急工作领导小组，下设事故现场应急领导小组，明确公司</w:t>
      </w:r>
      <w:r>
        <w:rPr>
          <w:rFonts w:hint="eastAsia" w:ascii="宋体" w:hAnsi="宋体" w:eastAsia="宋体" w:cs="宋体"/>
          <w:color w:val="auto"/>
          <w:kern w:val="0"/>
          <w:sz w:val="28"/>
          <w:szCs w:val="28"/>
          <w:lang w:val="en-US" w:eastAsia="zh-CN"/>
        </w:rPr>
        <w:t>法人</w:t>
      </w:r>
      <w:r>
        <w:rPr>
          <w:rFonts w:hint="eastAsia" w:ascii="宋体" w:hAnsi="宋体" w:eastAsia="宋体" w:cs="宋体"/>
          <w:color w:val="auto"/>
          <w:kern w:val="0"/>
          <w:sz w:val="28"/>
          <w:szCs w:val="28"/>
          <w:lang w:val="zh-CN" w:eastAsia="zh-CN"/>
        </w:rPr>
        <w:t>人为应急总指挥，</w:t>
      </w:r>
      <w:r>
        <w:rPr>
          <w:rFonts w:hint="eastAsia" w:ascii="宋体" w:hAnsi="宋体" w:eastAsia="宋体" w:cs="宋体"/>
          <w:color w:val="auto"/>
          <w:kern w:val="0"/>
          <w:sz w:val="28"/>
          <w:szCs w:val="28"/>
          <w:lang w:val="en-US" w:eastAsia="zh-CN"/>
        </w:rPr>
        <w:t>矿山主要负责人</w:t>
      </w:r>
      <w:r>
        <w:rPr>
          <w:rFonts w:hint="eastAsia" w:ascii="宋体" w:hAnsi="宋体" w:eastAsia="宋体" w:cs="宋体"/>
          <w:color w:val="auto"/>
          <w:kern w:val="0"/>
          <w:sz w:val="28"/>
          <w:szCs w:val="28"/>
          <w:lang w:val="zh-CN" w:eastAsia="zh-CN"/>
        </w:rPr>
        <w:t>为应急副总指挥，明确了总指挥、副总指挥、应急工作领导小组、事故现场应急领导小组的职责。</w:t>
      </w:r>
    </w:p>
    <w:p>
      <w:pPr>
        <w:pStyle w:val="46"/>
        <w:bidi w:val="0"/>
        <w:rPr>
          <w:rFonts w:hint="eastAsia"/>
        </w:rPr>
      </w:pPr>
      <w:bookmarkStart w:id="580" w:name="_Toc32034"/>
      <w:r>
        <w:rPr>
          <w:rFonts w:hint="eastAsia"/>
        </w:rPr>
        <w:t>4.</w:t>
      </w:r>
      <w:r>
        <w:rPr>
          <w:rFonts w:hint="eastAsia"/>
          <w:lang w:val="en-US" w:eastAsia="zh-CN"/>
        </w:rPr>
        <w:t>9</w:t>
      </w:r>
      <w:r>
        <w:rPr>
          <w:rFonts w:hint="eastAsia"/>
        </w:rPr>
        <w:t>.3单元存在问题及对策措施</w:t>
      </w:r>
      <w:bookmarkEnd w:id="580"/>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宋体" w:hAnsi="宋体" w:eastAsia="宋体" w:cs="宋体"/>
          <w:color w:val="auto"/>
          <w:kern w:val="0"/>
          <w:sz w:val="28"/>
          <w:szCs w:val="28"/>
          <w:lang w:val="en-US" w:eastAsia="zh-CN"/>
        </w:rPr>
      </w:pPr>
      <w:r>
        <w:rPr>
          <w:rFonts w:hint="eastAsia" w:ascii="宋体" w:hAnsi="宋体" w:eastAsia="宋体" w:cs="宋体"/>
          <w:color w:val="auto"/>
          <w:kern w:val="0"/>
          <w:sz w:val="28"/>
          <w:szCs w:val="28"/>
          <w:lang w:val="zh-CN" w:eastAsia="zh-CN"/>
        </w:rPr>
        <w:t>安全管理制度与安全生产责任制</w:t>
      </w:r>
      <w:r>
        <w:rPr>
          <w:rFonts w:hint="eastAsia" w:ascii="宋体" w:hAnsi="宋体" w:cs="宋体"/>
          <w:color w:val="auto"/>
          <w:kern w:val="0"/>
          <w:sz w:val="28"/>
          <w:szCs w:val="28"/>
          <w:lang w:val="en-US" w:eastAsia="zh-CN"/>
        </w:rPr>
        <w:t>不完善，</w:t>
      </w:r>
      <w:r>
        <w:rPr>
          <w:rFonts w:hint="eastAsia" w:ascii="宋体" w:hAnsi="宋体" w:eastAsia="宋体" w:cs="宋体"/>
          <w:color w:val="auto"/>
          <w:kern w:val="0"/>
          <w:sz w:val="28"/>
          <w:szCs w:val="28"/>
          <w:lang w:val="zh-CN" w:eastAsia="zh-CN"/>
        </w:rPr>
        <w:t>根据矿山的实际情况进一步补充和完善安全管理制度与安全生产责任制</w:t>
      </w:r>
      <w:r>
        <w:rPr>
          <w:rFonts w:hint="eastAsia" w:ascii="宋体" w:hAnsi="宋体" w:cs="宋体"/>
          <w:color w:val="auto"/>
          <w:kern w:val="0"/>
          <w:sz w:val="28"/>
          <w:szCs w:val="28"/>
          <w:lang w:val="zh-CN" w:eastAsia="zh-CN"/>
        </w:rPr>
        <w:t>。</w:t>
      </w:r>
    </w:p>
    <w:p>
      <w:pPr>
        <w:pStyle w:val="46"/>
        <w:bidi w:val="0"/>
        <w:rPr>
          <w:rFonts w:hint="eastAsia"/>
        </w:rPr>
      </w:pPr>
      <w:bookmarkStart w:id="581" w:name="_Toc9249"/>
      <w:bookmarkStart w:id="582" w:name="_Toc8868"/>
      <w:bookmarkStart w:id="583" w:name="_Toc102829766"/>
      <w:bookmarkStart w:id="584" w:name="_Toc438635220"/>
      <w:bookmarkStart w:id="585" w:name="_Toc502865226"/>
      <w:bookmarkStart w:id="586" w:name="_Toc467792826"/>
      <w:bookmarkStart w:id="587" w:name="_Toc16918"/>
      <w:r>
        <w:rPr>
          <w:rFonts w:hint="eastAsia"/>
        </w:rPr>
        <w:t>4.</w:t>
      </w:r>
      <w:r>
        <w:rPr>
          <w:rFonts w:hint="eastAsia"/>
          <w:lang w:val="en-US" w:eastAsia="zh-CN"/>
        </w:rPr>
        <w:t>9</w:t>
      </w:r>
      <w:r>
        <w:rPr>
          <w:rFonts w:hint="eastAsia"/>
        </w:rPr>
        <w:t>.</w:t>
      </w:r>
      <w:bookmarkEnd w:id="581"/>
      <w:bookmarkEnd w:id="582"/>
      <w:r>
        <w:rPr>
          <w:rFonts w:hint="eastAsia"/>
          <w:lang w:val="en-US" w:eastAsia="zh-CN"/>
        </w:rPr>
        <w:t>4</w:t>
      </w:r>
      <w:r>
        <w:rPr>
          <w:rFonts w:hint="eastAsia"/>
        </w:rPr>
        <w:t>单元小结</w:t>
      </w:r>
      <w:bookmarkEnd w:id="583"/>
      <w:bookmarkEnd w:id="584"/>
      <w:bookmarkEnd w:id="585"/>
      <w:bookmarkEnd w:id="586"/>
      <w:bookmarkEnd w:id="587"/>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zh-CN" w:eastAsia="zh-CN"/>
        </w:rPr>
      </w:pPr>
      <w:r>
        <w:rPr>
          <w:rFonts w:hint="eastAsia" w:ascii="宋体" w:hAnsi="宋体" w:eastAsia="宋体" w:cs="宋体"/>
          <w:color w:val="auto"/>
          <w:kern w:val="0"/>
          <w:sz w:val="28"/>
          <w:szCs w:val="28"/>
          <w:lang w:val="zh-CN" w:eastAsia="zh-CN"/>
        </w:rPr>
        <w:t>矿山成立了安全管理机构，任命了安全员，制定了相关制度、操作规程等，并按照相关的制度、操作规程执行，主要负责人和安全员已培训取证，作业人员经过相关部门培训并持证上岗，编制了事故应急救援预案并按要求备案，成立了应急救援队伍。矿山储备了应急救援器材、设备和物资，并进行经常性维护、保养，保证正常运转。评价认为安全管理满足安全生产要求。</w:t>
      </w:r>
    </w:p>
    <w:p>
      <w:pPr>
        <w:pStyle w:val="4"/>
        <w:bidi w:val="0"/>
        <w:rPr>
          <w:rFonts w:hint="eastAsia"/>
          <w:lang w:eastAsia="zh-CN"/>
        </w:rPr>
      </w:pPr>
      <w:bookmarkStart w:id="588" w:name="_Toc23859"/>
      <w:r>
        <w:rPr>
          <w:rFonts w:hint="eastAsia"/>
          <w:lang w:eastAsia="zh-CN"/>
        </w:rPr>
        <w:t>4.1</w:t>
      </w:r>
      <w:r>
        <w:rPr>
          <w:rFonts w:hint="eastAsia"/>
          <w:lang w:val="en-US" w:eastAsia="zh-CN"/>
        </w:rPr>
        <w:t>0</w:t>
      </w:r>
      <w:r>
        <w:rPr>
          <w:rFonts w:hint="eastAsia"/>
          <w:lang w:eastAsia="zh-CN"/>
        </w:rPr>
        <w:t>重大生产安全事故隐患判定单元</w:t>
      </w:r>
      <w:bookmarkEnd w:id="588"/>
    </w:p>
    <w:p>
      <w:pPr>
        <w:pStyle w:val="46"/>
        <w:bidi w:val="0"/>
        <w:rPr>
          <w:rFonts w:hint="eastAsia" w:ascii="宋体" w:hAnsi="宋体" w:eastAsia="宋体"/>
          <w:bCs/>
          <w:color w:val="auto"/>
        </w:rPr>
      </w:pPr>
      <w:bookmarkStart w:id="589" w:name="_Toc102829768"/>
      <w:bookmarkStart w:id="590" w:name="_Toc29856"/>
      <w:r>
        <w:rPr>
          <w:rFonts w:hint="eastAsia"/>
        </w:rPr>
        <w:t>4.1</w:t>
      </w:r>
      <w:r>
        <w:rPr>
          <w:rFonts w:hint="eastAsia"/>
          <w:lang w:val="en-US" w:eastAsia="zh-CN"/>
        </w:rPr>
        <w:t>0</w:t>
      </w:r>
      <w:r>
        <w:rPr>
          <w:rFonts w:hint="eastAsia"/>
        </w:rPr>
        <w:t>.1金属非金属露天矿山重大生产安全事故隐患检查表</w:t>
      </w:r>
      <w:bookmarkEnd w:id="589"/>
      <w:bookmarkEnd w:id="590"/>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zh-CN" w:eastAsia="zh-CN"/>
        </w:rPr>
      </w:pPr>
      <w:r>
        <w:rPr>
          <w:rFonts w:hint="eastAsia" w:ascii="宋体" w:hAnsi="宋体" w:eastAsia="宋体" w:cs="宋体"/>
          <w:color w:val="auto"/>
          <w:kern w:val="0"/>
          <w:sz w:val="28"/>
          <w:szCs w:val="28"/>
          <w:lang w:val="zh-CN" w:eastAsia="zh-CN"/>
        </w:rPr>
        <w:t>为切实做好矿山生产安全事故隐患排查治理工作，防止遏制较大事故的发生，特别要加强对矿山在生产经营过程中存在的重大隐患的判定、治理。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ascii="宋体" w:hAnsi="宋体" w:eastAsia="宋体" w:cs="Arial"/>
          <w:b/>
          <w:bCs/>
          <w:color w:val="auto"/>
          <w:kern w:val="2"/>
          <w:sz w:val="21"/>
          <w:szCs w:val="21"/>
        </w:rPr>
      </w:pPr>
      <w:r>
        <w:rPr>
          <w:rFonts w:hint="eastAsia" w:ascii="宋体" w:hAnsi="宋体" w:eastAsia="宋体" w:cs="宋体"/>
          <w:color w:val="auto"/>
          <w:kern w:val="0"/>
          <w:sz w:val="28"/>
          <w:szCs w:val="28"/>
          <w:lang w:val="zh-CN" w:eastAsia="zh-CN"/>
        </w:rPr>
        <w:t>根据《金属非金属矿山重大事故隐患判定标准》矿安〔2022〕88号</w:t>
      </w:r>
      <w:r>
        <w:rPr>
          <w:rFonts w:hint="eastAsia" w:ascii="宋体" w:hAnsi="宋体" w:cs="宋体"/>
          <w:color w:val="auto"/>
          <w:kern w:val="0"/>
          <w:sz w:val="28"/>
          <w:szCs w:val="28"/>
          <w:lang w:val="zh-CN" w:eastAsia="zh-CN"/>
        </w:rPr>
        <w:t>、</w:t>
      </w:r>
      <w:r>
        <w:rPr>
          <w:rFonts w:hint="eastAsia" w:ascii="宋体" w:hAnsi="宋体" w:eastAsia="宋体" w:cs="宋体"/>
          <w:color w:val="auto"/>
          <w:sz w:val="28"/>
          <w:szCs w:val="28"/>
        </w:rPr>
        <w:t>《金属非金属矿山重大事故隐患判定标准补充情形》</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矿安〔2024〕41号</w:t>
      </w:r>
      <w:r>
        <w:rPr>
          <w:rFonts w:hint="eastAsia" w:ascii="宋体" w:hAnsi="宋体" w:eastAsia="宋体" w:cs="宋体"/>
          <w:color w:val="auto"/>
          <w:sz w:val="28"/>
          <w:szCs w:val="28"/>
          <w:lang w:eastAsia="zh-CN"/>
        </w:rPr>
        <w:t>）</w:t>
      </w:r>
      <w:r>
        <w:rPr>
          <w:rFonts w:hint="eastAsia" w:ascii="宋体" w:hAnsi="宋体" w:eastAsia="宋体" w:cs="宋体"/>
          <w:color w:val="auto"/>
          <w:kern w:val="0"/>
          <w:sz w:val="28"/>
          <w:szCs w:val="28"/>
          <w:lang w:val="zh-CN" w:eastAsia="zh-CN"/>
        </w:rPr>
        <w:t>对进行对照检查，检查情况见下表：</w:t>
      </w:r>
    </w:p>
    <w:p>
      <w:pPr>
        <w:pStyle w:val="64"/>
        <w:wordWrap/>
        <w:topLinePunct w:val="0"/>
        <w:bidi w:val="0"/>
        <w:spacing w:line="460" w:lineRule="exact"/>
        <w:ind w:firstLine="2100" w:firstLineChars="1000"/>
        <w:jc w:val="left"/>
        <w:textAlignment w:val="auto"/>
        <w:outlineLvl w:val="9"/>
        <w:rPr>
          <w:rFonts w:ascii="宋体" w:hAnsi="宋体" w:eastAsia="宋体" w:cs="Arial"/>
          <w:b/>
          <w:bCs/>
          <w:color w:val="auto"/>
          <w:kern w:val="2"/>
          <w:sz w:val="21"/>
          <w:szCs w:val="21"/>
        </w:rPr>
      </w:pPr>
      <w:r>
        <w:rPr>
          <w:rFonts w:hint="eastAsia" w:ascii="宋体" w:hAnsi="宋体" w:cs="宋体"/>
          <w:b/>
          <w:color w:val="auto"/>
          <w:sz w:val="21"/>
          <w:szCs w:val="21"/>
        </w:rPr>
        <w:t>表4-1</w:t>
      </w:r>
      <w:r>
        <w:rPr>
          <w:rFonts w:hint="eastAsia" w:cs="宋体"/>
          <w:b/>
          <w:color w:val="auto"/>
          <w:sz w:val="21"/>
          <w:szCs w:val="21"/>
          <w:lang w:val="en-US" w:eastAsia="zh-CN"/>
        </w:rPr>
        <w:t>3</w:t>
      </w:r>
      <w:r>
        <w:rPr>
          <w:rFonts w:hint="eastAsia" w:ascii="宋体" w:hAnsi="宋体" w:cs="宋体"/>
          <w:b/>
          <w:color w:val="auto"/>
          <w:sz w:val="21"/>
          <w:szCs w:val="21"/>
          <w:lang w:val="en-US" w:eastAsia="zh-CN"/>
        </w:rPr>
        <w:t xml:space="preserve"> </w:t>
      </w:r>
      <w:r>
        <w:rPr>
          <w:rFonts w:hint="eastAsia" w:cs="宋体"/>
          <w:b/>
          <w:color w:val="auto"/>
          <w:sz w:val="21"/>
          <w:szCs w:val="21"/>
          <w:lang w:val="en-US" w:eastAsia="zh-CN"/>
        </w:rPr>
        <w:t xml:space="preserve"> </w:t>
      </w:r>
      <w:r>
        <w:rPr>
          <w:rFonts w:ascii="宋体" w:hAnsi="宋体" w:eastAsia="宋体" w:cs="Arial"/>
          <w:b/>
          <w:bCs/>
          <w:color w:val="auto"/>
          <w:kern w:val="2"/>
          <w:sz w:val="21"/>
          <w:szCs w:val="21"/>
        </w:rPr>
        <w:t>金属非金属露天矿山重大生产安全事故隐患检查表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3544"/>
        <w:gridCol w:w="1811"/>
        <w:gridCol w:w="1903"/>
        <w:gridCol w:w="1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711" w:type="dxa"/>
            <w:noWrap w:val="0"/>
            <w:vAlign w:val="center"/>
          </w:tcPr>
          <w:p>
            <w:pPr>
              <w:wordWrap/>
              <w:topLinePunct w:val="0"/>
              <w:bidi w:val="0"/>
              <w:spacing w:line="500" w:lineRule="exact"/>
              <w:jc w:val="center"/>
              <w:textAlignment w:val="auto"/>
              <w:rPr>
                <w:rFonts w:hint="eastAsia" w:ascii="宋体" w:hAnsi="宋体" w:eastAsia="宋体" w:cs="宋体"/>
                <w:b/>
                <w:color w:val="auto"/>
                <w:szCs w:val="21"/>
              </w:rPr>
            </w:pPr>
            <w:bookmarkStart w:id="591" w:name="_Toc8372"/>
            <w:r>
              <w:rPr>
                <w:rFonts w:hint="eastAsia" w:ascii="宋体" w:hAnsi="宋体" w:eastAsia="宋体" w:cs="宋体"/>
                <w:b/>
                <w:color w:val="auto"/>
                <w:szCs w:val="21"/>
              </w:rPr>
              <w:t>序号</w:t>
            </w:r>
            <w:bookmarkEnd w:id="591"/>
          </w:p>
        </w:tc>
        <w:tc>
          <w:tcPr>
            <w:tcW w:w="3544" w:type="dxa"/>
            <w:noWrap w:val="0"/>
            <w:vAlign w:val="center"/>
          </w:tcPr>
          <w:p>
            <w:pPr>
              <w:wordWrap/>
              <w:topLinePunct w:val="0"/>
              <w:bidi w:val="0"/>
              <w:spacing w:line="500" w:lineRule="exact"/>
              <w:jc w:val="center"/>
              <w:textAlignment w:val="auto"/>
              <w:rPr>
                <w:rFonts w:hint="eastAsia" w:ascii="宋体" w:hAnsi="宋体" w:eastAsia="宋体" w:cs="宋体"/>
                <w:b/>
                <w:color w:val="auto"/>
                <w:szCs w:val="21"/>
              </w:rPr>
            </w:pPr>
            <w:bookmarkStart w:id="592" w:name="_Toc19800"/>
            <w:r>
              <w:rPr>
                <w:rFonts w:hint="eastAsia" w:ascii="宋体" w:hAnsi="宋体" w:eastAsia="宋体" w:cs="宋体"/>
                <w:b/>
                <w:color w:val="auto"/>
                <w:szCs w:val="21"/>
              </w:rPr>
              <w:t>检查内容</w:t>
            </w:r>
            <w:bookmarkEnd w:id="592"/>
          </w:p>
        </w:tc>
        <w:tc>
          <w:tcPr>
            <w:tcW w:w="1811" w:type="dxa"/>
            <w:noWrap w:val="0"/>
            <w:vAlign w:val="center"/>
          </w:tcPr>
          <w:p>
            <w:pPr>
              <w:wordWrap/>
              <w:topLinePunct w:val="0"/>
              <w:bidi w:val="0"/>
              <w:spacing w:line="500" w:lineRule="exact"/>
              <w:jc w:val="center"/>
              <w:textAlignment w:val="auto"/>
              <w:rPr>
                <w:rFonts w:hint="eastAsia" w:ascii="宋体" w:hAnsi="宋体" w:eastAsia="宋体" w:cs="宋体"/>
                <w:b/>
                <w:color w:val="auto"/>
                <w:szCs w:val="21"/>
              </w:rPr>
            </w:pPr>
            <w:bookmarkStart w:id="593" w:name="_Toc18768"/>
            <w:r>
              <w:rPr>
                <w:rFonts w:hint="eastAsia" w:ascii="宋体" w:hAnsi="宋体" w:eastAsia="宋体" w:cs="宋体"/>
                <w:b/>
                <w:color w:val="auto"/>
                <w:szCs w:val="21"/>
              </w:rPr>
              <w:t>检查依据</w:t>
            </w:r>
            <w:bookmarkEnd w:id="593"/>
          </w:p>
        </w:tc>
        <w:tc>
          <w:tcPr>
            <w:tcW w:w="1903" w:type="dxa"/>
            <w:noWrap w:val="0"/>
            <w:vAlign w:val="center"/>
          </w:tcPr>
          <w:p>
            <w:pPr>
              <w:wordWrap/>
              <w:topLinePunct w:val="0"/>
              <w:bidi w:val="0"/>
              <w:spacing w:line="500" w:lineRule="exact"/>
              <w:jc w:val="center"/>
              <w:textAlignment w:val="auto"/>
              <w:rPr>
                <w:rFonts w:hint="eastAsia" w:ascii="宋体" w:hAnsi="宋体" w:eastAsia="宋体" w:cs="宋体"/>
                <w:b/>
                <w:color w:val="auto"/>
                <w:szCs w:val="21"/>
              </w:rPr>
            </w:pPr>
            <w:bookmarkStart w:id="594" w:name="_Toc30509"/>
            <w:r>
              <w:rPr>
                <w:rFonts w:hint="eastAsia" w:ascii="宋体" w:hAnsi="宋体" w:eastAsia="宋体" w:cs="宋体"/>
                <w:b/>
                <w:color w:val="auto"/>
                <w:szCs w:val="21"/>
              </w:rPr>
              <w:t>检查情况</w:t>
            </w:r>
            <w:bookmarkEnd w:id="594"/>
          </w:p>
        </w:tc>
        <w:tc>
          <w:tcPr>
            <w:tcW w:w="1123" w:type="dxa"/>
            <w:noWrap w:val="0"/>
            <w:vAlign w:val="center"/>
          </w:tcPr>
          <w:p>
            <w:pPr>
              <w:wordWrap/>
              <w:topLinePunct w:val="0"/>
              <w:bidi w:val="0"/>
              <w:spacing w:line="500" w:lineRule="exact"/>
              <w:jc w:val="center"/>
              <w:textAlignment w:val="auto"/>
              <w:rPr>
                <w:rFonts w:hint="eastAsia" w:ascii="宋体" w:hAnsi="宋体" w:eastAsia="宋体" w:cs="宋体"/>
                <w:b/>
                <w:color w:val="auto"/>
                <w:szCs w:val="21"/>
              </w:rPr>
            </w:pPr>
            <w:bookmarkStart w:id="595" w:name="_Toc20978"/>
            <w:r>
              <w:rPr>
                <w:rFonts w:hint="eastAsia" w:ascii="宋体" w:hAnsi="宋体" w:eastAsia="宋体" w:cs="宋体"/>
                <w:b/>
                <w:color w:val="auto"/>
                <w:szCs w:val="21"/>
              </w:rPr>
              <w:t>检查结论</w:t>
            </w:r>
            <w:bookmarkEnd w:id="59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1" w:type="dxa"/>
            <w:noWrap w:val="0"/>
            <w:vAlign w:val="center"/>
          </w:tcPr>
          <w:p>
            <w:pPr>
              <w:wordWrap/>
              <w:topLinePunct w:val="0"/>
              <w:bidi w:val="0"/>
              <w:jc w:val="center"/>
              <w:textAlignment w:val="auto"/>
              <w:rPr>
                <w:rFonts w:ascii="宋体" w:hAnsi="宋体"/>
                <w:color w:val="auto"/>
              </w:rPr>
            </w:pPr>
            <w:r>
              <w:rPr>
                <w:rFonts w:hint="eastAsia" w:ascii="宋体" w:hAnsi="宋体"/>
                <w:color w:val="auto"/>
              </w:rPr>
              <w:t>1</w:t>
            </w:r>
          </w:p>
        </w:tc>
        <w:tc>
          <w:tcPr>
            <w:tcW w:w="3544" w:type="dxa"/>
            <w:noWrap w:val="0"/>
            <w:vAlign w:val="center"/>
          </w:tcPr>
          <w:p>
            <w:pPr>
              <w:wordWrap/>
              <w:topLinePunct w:val="0"/>
              <w:bidi w:val="0"/>
              <w:jc w:val="both"/>
              <w:textAlignment w:val="auto"/>
              <w:rPr>
                <w:rFonts w:hint="eastAsia" w:ascii="宋体" w:hAnsi="宋体"/>
                <w:color w:val="auto"/>
              </w:rPr>
            </w:pPr>
            <w:r>
              <w:rPr>
                <w:rFonts w:hint="eastAsia" w:ascii="宋体" w:hAnsi="宋体"/>
                <w:color w:val="auto"/>
              </w:rPr>
              <w:t>地下转露天开采，未探明采空区或未对采空区实施专项安全技术措施。</w:t>
            </w:r>
          </w:p>
        </w:tc>
        <w:tc>
          <w:tcPr>
            <w:tcW w:w="1811" w:type="dxa"/>
            <w:vMerge w:val="restart"/>
            <w:noWrap w:val="0"/>
            <w:vAlign w:val="center"/>
          </w:tcPr>
          <w:p>
            <w:pPr>
              <w:wordWrap/>
              <w:topLinePunct w:val="0"/>
              <w:bidi w:val="0"/>
              <w:jc w:val="both"/>
              <w:textAlignment w:val="auto"/>
              <w:rPr>
                <w:rFonts w:hint="eastAsia" w:ascii="宋体" w:hAnsi="宋体" w:eastAsia="宋体"/>
                <w:color w:val="auto"/>
                <w:lang w:eastAsia="zh-CN"/>
              </w:rPr>
            </w:pPr>
            <w:r>
              <w:rPr>
                <w:rFonts w:hint="eastAsia" w:ascii="宋体" w:hAnsi="宋体"/>
                <w:color w:val="auto"/>
                <w:lang w:eastAsia="zh-CN"/>
              </w:rPr>
              <w:t>《金属非金属矿山重大事故隐患判定标准》矿安〔2022〕88号</w:t>
            </w:r>
          </w:p>
        </w:tc>
        <w:tc>
          <w:tcPr>
            <w:tcW w:w="1903" w:type="dxa"/>
            <w:noWrap w:val="0"/>
            <w:vAlign w:val="center"/>
          </w:tcPr>
          <w:p>
            <w:pPr>
              <w:wordWrap/>
              <w:topLinePunct w:val="0"/>
              <w:bidi w:val="0"/>
              <w:jc w:val="both"/>
              <w:textAlignment w:val="auto"/>
              <w:rPr>
                <w:rFonts w:ascii="宋体" w:hAnsi="宋体"/>
                <w:color w:val="auto"/>
              </w:rPr>
            </w:pPr>
            <w:r>
              <w:rPr>
                <w:rFonts w:hint="eastAsia" w:ascii="宋体" w:hAnsi="宋体"/>
                <w:color w:val="auto"/>
              </w:rPr>
              <w:t>不涉及</w:t>
            </w:r>
          </w:p>
        </w:tc>
        <w:tc>
          <w:tcPr>
            <w:tcW w:w="1123" w:type="dxa"/>
            <w:noWrap w:val="0"/>
            <w:vAlign w:val="center"/>
          </w:tcPr>
          <w:p>
            <w:pPr>
              <w:wordWrap/>
              <w:topLinePunct w:val="0"/>
              <w:bidi w:val="0"/>
              <w:jc w:val="both"/>
              <w:textAlignment w:val="auto"/>
              <w:rPr>
                <w:rFonts w:ascii="宋体" w:hAnsi="宋体"/>
                <w:color w:val="auto"/>
              </w:rPr>
            </w:pPr>
            <w:r>
              <w:rPr>
                <w:rFonts w:hint="eastAsia" w:ascii="宋体" w:hAnsi="宋体"/>
                <w:color w:val="auto"/>
              </w:rPr>
              <w:t>不存在重大隐患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1" w:type="dxa"/>
            <w:noWrap w:val="0"/>
            <w:vAlign w:val="center"/>
          </w:tcPr>
          <w:p>
            <w:pPr>
              <w:wordWrap/>
              <w:topLinePunct w:val="0"/>
              <w:bidi w:val="0"/>
              <w:jc w:val="center"/>
              <w:textAlignment w:val="auto"/>
              <w:rPr>
                <w:rFonts w:ascii="宋体" w:hAnsi="宋体"/>
                <w:color w:val="auto"/>
              </w:rPr>
            </w:pPr>
            <w:r>
              <w:rPr>
                <w:rFonts w:hint="eastAsia" w:ascii="宋体" w:hAnsi="宋体"/>
                <w:color w:val="auto"/>
              </w:rPr>
              <w:t>2</w:t>
            </w:r>
          </w:p>
        </w:tc>
        <w:tc>
          <w:tcPr>
            <w:tcW w:w="3544" w:type="dxa"/>
            <w:noWrap w:val="0"/>
            <w:vAlign w:val="center"/>
          </w:tcPr>
          <w:p>
            <w:pPr>
              <w:wordWrap/>
              <w:topLinePunct w:val="0"/>
              <w:bidi w:val="0"/>
              <w:jc w:val="both"/>
              <w:textAlignment w:val="auto"/>
              <w:rPr>
                <w:rFonts w:hint="eastAsia" w:ascii="宋体" w:hAnsi="宋体"/>
                <w:color w:val="auto"/>
              </w:rPr>
            </w:pPr>
            <w:r>
              <w:rPr>
                <w:rFonts w:hint="eastAsia" w:ascii="宋体" w:hAnsi="宋体"/>
                <w:color w:val="auto"/>
              </w:rPr>
              <w:t>使用国家明令禁止使用的设备、材料和工艺。</w:t>
            </w:r>
          </w:p>
        </w:tc>
        <w:tc>
          <w:tcPr>
            <w:tcW w:w="1811" w:type="dxa"/>
            <w:vMerge w:val="continue"/>
            <w:noWrap w:val="0"/>
            <w:vAlign w:val="center"/>
          </w:tcPr>
          <w:p>
            <w:pPr>
              <w:wordWrap/>
              <w:topLinePunct w:val="0"/>
              <w:bidi w:val="0"/>
              <w:jc w:val="both"/>
              <w:textAlignment w:val="auto"/>
              <w:rPr>
                <w:rFonts w:hint="eastAsia" w:ascii="宋体" w:hAnsi="宋体" w:eastAsia="宋体"/>
                <w:color w:val="auto"/>
                <w:lang w:eastAsia="zh-CN"/>
              </w:rPr>
            </w:pPr>
          </w:p>
        </w:tc>
        <w:tc>
          <w:tcPr>
            <w:tcW w:w="1903" w:type="dxa"/>
            <w:noWrap w:val="0"/>
            <w:vAlign w:val="center"/>
          </w:tcPr>
          <w:p>
            <w:pPr>
              <w:wordWrap/>
              <w:topLinePunct w:val="0"/>
              <w:bidi w:val="0"/>
              <w:jc w:val="both"/>
              <w:textAlignment w:val="auto"/>
              <w:rPr>
                <w:rFonts w:ascii="宋体" w:hAnsi="宋体"/>
                <w:color w:val="auto"/>
              </w:rPr>
            </w:pPr>
            <w:r>
              <w:rPr>
                <w:rFonts w:hint="eastAsia" w:ascii="宋体" w:hAnsi="宋体"/>
                <w:color w:val="auto"/>
              </w:rPr>
              <w:t>未使用淘汰产品</w:t>
            </w:r>
          </w:p>
        </w:tc>
        <w:tc>
          <w:tcPr>
            <w:tcW w:w="1123" w:type="dxa"/>
            <w:noWrap w:val="0"/>
            <w:vAlign w:val="center"/>
          </w:tcPr>
          <w:p>
            <w:pPr>
              <w:wordWrap/>
              <w:topLinePunct w:val="0"/>
              <w:bidi w:val="0"/>
              <w:jc w:val="both"/>
              <w:textAlignment w:val="auto"/>
              <w:rPr>
                <w:rFonts w:ascii="宋体" w:hAnsi="宋体"/>
                <w:color w:val="auto"/>
              </w:rPr>
            </w:pPr>
            <w:r>
              <w:rPr>
                <w:rFonts w:hint="eastAsia" w:ascii="宋体" w:hAnsi="宋体"/>
                <w:color w:val="auto"/>
              </w:rPr>
              <w:t>不存在重大隐患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1" w:type="dxa"/>
            <w:noWrap w:val="0"/>
            <w:vAlign w:val="center"/>
          </w:tcPr>
          <w:p>
            <w:pPr>
              <w:wordWrap/>
              <w:topLinePunct w:val="0"/>
              <w:bidi w:val="0"/>
              <w:jc w:val="center"/>
              <w:textAlignment w:val="auto"/>
              <w:rPr>
                <w:rFonts w:ascii="宋体" w:hAnsi="宋体"/>
                <w:color w:val="auto"/>
              </w:rPr>
            </w:pPr>
            <w:r>
              <w:rPr>
                <w:rFonts w:hint="eastAsia" w:ascii="宋体" w:hAnsi="宋体"/>
                <w:color w:val="auto"/>
              </w:rPr>
              <w:t>3</w:t>
            </w:r>
          </w:p>
        </w:tc>
        <w:tc>
          <w:tcPr>
            <w:tcW w:w="3544" w:type="dxa"/>
            <w:noWrap w:val="0"/>
            <w:vAlign w:val="center"/>
          </w:tcPr>
          <w:p>
            <w:pPr>
              <w:wordWrap/>
              <w:topLinePunct w:val="0"/>
              <w:bidi w:val="0"/>
              <w:jc w:val="both"/>
              <w:textAlignment w:val="auto"/>
              <w:rPr>
                <w:rFonts w:hint="eastAsia" w:ascii="宋体" w:hAnsi="宋体"/>
                <w:color w:val="auto"/>
              </w:rPr>
            </w:pPr>
            <w:r>
              <w:rPr>
                <w:rFonts w:hint="eastAsia" w:ascii="宋体" w:hAnsi="宋体"/>
                <w:color w:val="auto"/>
              </w:rPr>
              <w:t>未采用自上而下、分台阶或分层的方式进行开采。</w:t>
            </w:r>
          </w:p>
        </w:tc>
        <w:tc>
          <w:tcPr>
            <w:tcW w:w="1811" w:type="dxa"/>
            <w:vMerge w:val="continue"/>
            <w:noWrap w:val="0"/>
            <w:vAlign w:val="center"/>
          </w:tcPr>
          <w:p>
            <w:pPr>
              <w:wordWrap/>
              <w:topLinePunct w:val="0"/>
              <w:bidi w:val="0"/>
              <w:jc w:val="both"/>
              <w:textAlignment w:val="auto"/>
              <w:rPr>
                <w:rFonts w:hint="eastAsia" w:ascii="宋体" w:hAnsi="宋体" w:eastAsia="宋体"/>
                <w:color w:val="auto"/>
                <w:lang w:eastAsia="zh-CN"/>
              </w:rPr>
            </w:pPr>
          </w:p>
        </w:tc>
        <w:tc>
          <w:tcPr>
            <w:tcW w:w="1903" w:type="dxa"/>
            <w:noWrap w:val="0"/>
            <w:vAlign w:val="center"/>
          </w:tcPr>
          <w:p>
            <w:pPr>
              <w:wordWrap/>
              <w:topLinePunct w:val="0"/>
              <w:bidi w:val="0"/>
              <w:jc w:val="both"/>
              <w:textAlignment w:val="auto"/>
              <w:rPr>
                <w:rFonts w:ascii="宋体" w:hAnsi="宋体"/>
                <w:color w:val="auto"/>
              </w:rPr>
            </w:pPr>
            <w:r>
              <w:rPr>
                <w:rFonts w:hint="eastAsia" w:ascii="宋体" w:hAnsi="宋体"/>
                <w:color w:val="auto"/>
              </w:rPr>
              <w:t>自上而下分台阶开采</w:t>
            </w:r>
          </w:p>
        </w:tc>
        <w:tc>
          <w:tcPr>
            <w:tcW w:w="1123" w:type="dxa"/>
            <w:noWrap w:val="0"/>
            <w:vAlign w:val="center"/>
          </w:tcPr>
          <w:p>
            <w:pPr>
              <w:wordWrap/>
              <w:topLinePunct w:val="0"/>
              <w:bidi w:val="0"/>
              <w:jc w:val="both"/>
              <w:textAlignment w:val="auto"/>
              <w:rPr>
                <w:rFonts w:hint="eastAsia" w:ascii="宋体" w:hAnsi="宋体"/>
                <w:color w:val="auto"/>
              </w:rPr>
            </w:pPr>
            <w:r>
              <w:rPr>
                <w:rFonts w:hint="eastAsia" w:ascii="宋体" w:hAnsi="宋体"/>
                <w:color w:val="auto"/>
              </w:rPr>
              <w:t>不存在重大隐患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711" w:type="dxa"/>
            <w:noWrap w:val="0"/>
            <w:vAlign w:val="center"/>
          </w:tcPr>
          <w:p>
            <w:pPr>
              <w:wordWrap/>
              <w:topLinePunct w:val="0"/>
              <w:bidi w:val="0"/>
              <w:jc w:val="center"/>
              <w:textAlignment w:val="auto"/>
              <w:rPr>
                <w:rFonts w:ascii="宋体" w:hAnsi="宋体"/>
                <w:color w:val="auto"/>
              </w:rPr>
            </w:pPr>
            <w:r>
              <w:rPr>
                <w:rFonts w:hint="eastAsia" w:ascii="宋体" w:hAnsi="宋体"/>
                <w:color w:val="auto"/>
              </w:rPr>
              <w:t>4</w:t>
            </w:r>
          </w:p>
        </w:tc>
        <w:tc>
          <w:tcPr>
            <w:tcW w:w="3544" w:type="dxa"/>
            <w:noWrap w:val="0"/>
            <w:vAlign w:val="center"/>
          </w:tcPr>
          <w:p>
            <w:pPr>
              <w:wordWrap/>
              <w:topLinePunct w:val="0"/>
              <w:bidi w:val="0"/>
              <w:jc w:val="both"/>
              <w:textAlignment w:val="auto"/>
              <w:rPr>
                <w:rFonts w:hint="eastAsia" w:ascii="宋体" w:hAnsi="宋体"/>
                <w:color w:val="auto"/>
              </w:rPr>
            </w:pPr>
            <w:r>
              <w:rPr>
                <w:rFonts w:hint="eastAsia" w:ascii="宋体" w:hAnsi="宋体"/>
                <w:color w:val="auto"/>
              </w:rPr>
              <w:t>工作帮坡角大于设计工作帮坡角，或台阶（分层）高度超过设计高度。</w:t>
            </w:r>
          </w:p>
        </w:tc>
        <w:tc>
          <w:tcPr>
            <w:tcW w:w="1811" w:type="dxa"/>
            <w:vMerge w:val="continue"/>
            <w:noWrap w:val="0"/>
            <w:vAlign w:val="center"/>
          </w:tcPr>
          <w:p>
            <w:pPr>
              <w:wordWrap/>
              <w:topLinePunct w:val="0"/>
              <w:bidi w:val="0"/>
              <w:jc w:val="both"/>
              <w:textAlignment w:val="auto"/>
              <w:rPr>
                <w:rFonts w:hint="eastAsia" w:ascii="宋体" w:hAnsi="宋体" w:eastAsia="宋体"/>
                <w:color w:val="auto"/>
                <w:lang w:eastAsia="zh-CN"/>
              </w:rPr>
            </w:pPr>
          </w:p>
        </w:tc>
        <w:tc>
          <w:tcPr>
            <w:tcW w:w="1903" w:type="dxa"/>
            <w:noWrap w:val="0"/>
            <w:vAlign w:val="center"/>
          </w:tcPr>
          <w:p>
            <w:pPr>
              <w:wordWrap/>
              <w:topLinePunct w:val="0"/>
              <w:bidi w:val="0"/>
              <w:jc w:val="both"/>
              <w:textAlignment w:val="auto"/>
              <w:rPr>
                <w:rFonts w:ascii="宋体" w:hAnsi="宋体"/>
                <w:color w:val="auto"/>
              </w:rPr>
            </w:pPr>
            <w:r>
              <w:rPr>
                <w:rFonts w:hint="eastAsia" w:ascii="宋体" w:hAnsi="宋体" w:cs="宋体"/>
                <w:color w:val="auto"/>
                <w:szCs w:val="21"/>
              </w:rPr>
              <w:t>工作帮坡角小于设计工作帮坡角；台阶（分层）高度局部</w:t>
            </w:r>
            <w:r>
              <w:rPr>
                <w:rFonts w:hint="eastAsia" w:ascii="宋体" w:hAnsi="宋体" w:cs="宋体"/>
                <w:color w:val="auto"/>
                <w:szCs w:val="21"/>
                <w:lang w:val="en-US" w:eastAsia="zh-CN"/>
              </w:rPr>
              <w:t>小于</w:t>
            </w:r>
            <w:r>
              <w:rPr>
                <w:rFonts w:hint="eastAsia" w:ascii="宋体" w:hAnsi="宋体" w:cs="宋体"/>
                <w:color w:val="auto"/>
                <w:szCs w:val="21"/>
              </w:rPr>
              <w:t>设计高度。</w:t>
            </w:r>
          </w:p>
        </w:tc>
        <w:tc>
          <w:tcPr>
            <w:tcW w:w="1123" w:type="dxa"/>
            <w:noWrap w:val="0"/>
            <w:vAlign w:val="center"/>
          </w:tcPr>
          <w:p>
            <w:pPr>
              <w:wordWrap/>
              <w:topLinePunct w:val="0"/>
              <w:bidi w:val="0"/>
              <w:jc w:val="both"/>
              <w:textAlignment w:val="auto"/>
              <w:rPr>
                <w:rFonts w:hint="eastAsia" w:ascii="宋体" w:hAnsi="宋体"/>
                <w:color w:val="auto"/>
              </w:rPr>
            </w:pPr>
            <w:r>
              <w:rPr>
                <w:rFonts w:hint="eastAsia" w:ascii="宋体" w:hAnsi="宋体"/>
                <w:color w:val="auto"/>
              </w:rPr>
              <w:t>不存在重大隐患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1" w:type="dxa"/>
            <w:noWrap w:val="0"/>
            <w:vAlign w:val="center"/>
          </w:tcPr>
          <w:p>
            <w:pPr>
              <w:wordWrap/>
              <w:topLinePunct w:val="0"/>
              <w:bidi w:val="0"/>
              <w:jc w:val="center"/>
              <w:textAlignment w:val="auto"/>
              <w:rPr>
                <w:rFonts w:ascii="宋体" w:hAnsi="宋体"/>
                <w:color w:val="auto"/>
              </w:rPr>
            </w:pPr>
            <w:r>
              <w:rPr>
                <w:rFonts w:hint="eastAsia" w:ascii="宋体" w:hAnsi="宋体"/>
                <w:color w:val="auto"/>
              </w:rPr>
              <w:t>5</w:t>
            </w:r>
          </w:p>
        </w:tc>
        <w:tc>
          <w:tcPr>
            <w:tcW w:w="3544" w:type="dxa"/>
            <w:noWrap w:val="0"/>
            <w:vAlign w:val="center"/>
          </w:tcPr>
          <w:p>
            <w:pPr>
              <w:wordWrap/>
              <w:topLinePunct w:val="0"/>
              <w:bidi w:val="0"/>
              <w:jc w:val="both"/>
              <w:textAlignment w:val="auto"/>
              <w:rPr>
                <w:rFonts w:hint="eastAsia" w:ascii="宋体" w:hAnsi="宋体"/>
                <w:color w:val="auto"/>
              </w:rPr>
            </w:pPr>
            <w:r>
              <w:rPr>
                <w:rFonts w:hint="eastAsia" w:ascii="宋体" w:hAnsi="宋体" w:eastAsia="宋体" w:cs="Times New Roman"/>
                <w:color w:val="auto"/>
                <w:lang w:val="en-US" w:eastAsia="zh-CN"/>
              </w:rPr>
              <w:t>开采或者破坏设计要求保留的矿（岩）柱或者挂帮矿体。</w:t>
            </w:r>
          </w:p>
        </w:tc>
        <w:tc>
          <w:tcPr>
            <w:tcW w:w="1811" w:type="dxa"/>
            <w:vMerge w:val="continue"/>
            <w:noWrap w:val="0"/>
            <w:vAlign w:val="center"/>
          </w:tcPr>
          <w:p>
            <w:pPr>
              <w:wordWrap/>
              <w:topLinePunct w:val="0"/>
              <w:bidi w:val="0"/>
              <w:jc w:val="both"/>
              <w:textAlignment w:val="auto"/>
              <w:rPr>
                <w:rFonts w:hint="eastAsia" w:ascii="宋体" w:hAnsi="宋体" w:eastAsia="宋体"/>
                <w:color w:val="auto"/>
                <w:lang w:eastAsia="zh-CN"/>
              </w:rPr>
            </w:pPr>
          </w:p>
        </w:tc>
        <w:tc>
          <w:tcPr>
            <w:tcW w:w="1903" w:type="dxa"/>
            <w:noWrap w:val="0"/>
            <w:vAlign w:val="center"/>
          </w:tcPr>
          <w:p>
            <w:pPr>
              <w:wordWrap/>
              <w:topLinePunct w:val="0"/>
              <w:bidi w:val="0"/>
              <w:jc w:val="both"/>
              <w:textAlignment w:val="auto"/>
              <w:rPr>
                <w:rFonts w:hint="default" w:ascii="宋体" w:hAnsi="宋体" w:eastAsia="宋体"/>
                <w:color w:val="auto"/>
                <w:lang w:val="en-US" w:eastAsia="zh-CN"/>
              </w:rPr>
            </w:pPr>
            <w:r>
              <w:rPr>
                <w:rFonts w:hint="eastAsia" w:ascii="宋体" w:hAnsi="宋体"/>
                <w:color w:val="auto"/>
              </w:rPr>
              <w:t>露天开采</w:t>
            </w:r>
          </w:p>
        </w:tc>
        <w:tc>
          <w:tcPr>
            <w:tcW w:w="1123" w:type="dxa"/>
            <w:noWrap w:val="0"/>
            <w:vAlign w:val="center"/>
          </w:tcPr>
          <w:p>
            <w:pPr>
              <w:wordWrap/>
              <w:topLinePunct w:val="0"/>
              <w:bidi w:val="0"/>
              <w:jc w:val="both"/>
              <w:textAlignment w:val="auto"/>
              <w:rPr>
                <w:rFonts w:hint="eastAsia" w:ascii="宋体" w:hAnsi="宋体"/>
                <w:color w:val="auto"/>
              </w:rPr>
            </w:pPr>
            <w:r>
              <w:rPr>
                <w:rFonts w:hint="eastAsia" w:ascii="宋体" w:hAnsi="宋体"/>
                <w:color w:val="auto"/>
              </w:rPr>
              <w:t>不存在重大隐患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1" w:type="dxa"/>
            <w:noWrap w:val="0"/>
            <w:vAlign w:val="center"/>
          </w:tcPr>
          <w:p>
            <w:pPr>
              <w:wordWrap/>
              <w:topLinePunct w:val="0"/>
              <w:bidi w:val="0"/>
              <w:jc w:val="center"/>
              <w:textAlignment w:val="auto"/>
              <w:rPr>
                <w:rFonts w:ascii="宋体" w:hAnsi="宋体"/>
                <w:color w:val="auto"/>
              </w:rPr>
            </w:pPr>
            <w:r>
              <w:rPr>
                <w:rFonts w:hint="eastAsia" w:ascii="宋体" w:hAnsi="宋体"/>
                <w:color w:val="auto"/>
              </w:rPr>
              <w:t>6</w:t>
            </w:r>
          </w:p>
        </w:tc>
        <w:tc>
          <w:tcPr>
            <w:tcW w:w="3544" w:type="dxa"/>
            <w:noWrap w:val="0"/>
            <w:vAlign w:val="center"/>
          </w:tcPr>
          <w:p>
            <w:pPr>
              <w:wordWrap/>
              <w:topLinePunct w:val="0"/>
              <w:bidi w:val="0"/>
              <w:jc w:val="both"/>
              <w:textAlignment w:val="auto"/>
              <w:rPr>
                <w:rFonts w:hint="eastAsia" w:ascii="宋体" w:hAnsi="宋体"/>
                <w:color w:val="auto"/>
              </w:rPr>
            </w:pPr>
            <w:r>
              <w:rPr>
                <w:rFonts w:hint="eastAsia" w:ascii="宋体" w:hAnsi="宋体" w:eastAsia="宋体" w:cs="Times New Roman"/>
                <w:color w:val="auto"/>
                <w:lang w:val="en-US" w:eastAsia="zh-CN"/>
              </w:rPr>
              <w:t>未按有关国家标准或者行业标准对采场边坡、排土场边坡进行稳定性分析。</w:t>
            </w:r>
          </w:p>
        </w:tc>
        <w:tc>
          <w:tcPr>
            <w:tcW w:w="1811" w:type="dxa"/>
            <w:vMerge w:val="continue"/>
            <w:noWrap w:val="0"/>
            <w:vAlign w:val="center"/>
          </w:tcPr>
          <w:p>
            <w:pPr>
              <w:wordWrap/>
              <w:topLinePunct w:val="0"/>
              <w:bidi w:val="0"/>
              <w:jc w:val="both"/>
              <w:textAlignment w:val="auto"/>
              <w:rPr>
                <w:rFonts w:hint="eastAsia" w:ascii="宋体" w:hAnsi="宋体" w:eastAsia="宋体"/>
                <w:color w:val="auto"/>
                <w:lang w:eastAsia="zh-CN"/>
              </w:rPr>
            </w:pPr>
          </w:p>
        </w:tc>
        <w:tc>
          <w:tcPr>
            <w:tcW w:w="1903" w:type="dxa"/>
            <w:noWrap w:val="0"/>
            <w:vAlign w:val="center"/>
          </w:tcPr>
          <w:p>
            <w:pPr>
              <w:wordWrap/>
              <w:topLinePunct w:val="0"/>
              <w:bidi w:val="0"/>
              <w:jc w:val="both"/>
              <w:textAlignment w:val="auto"/>
              <w:rPr>
                <w:rFonts w:hint="default" w:ascii="宋体" w:hAnsi="宋体" w:eastAsia="宋体"/>
                <w:color w:val="auto"/>
                <w:lang w:val="en-US" w:eastAsia="zh-CN"/>
              </w:rPr>
            </w:pPr>
            <w:r>
              <w:rPr>
                <w:color w:val="auto"/>
              </w:rPr>
              <w:t>安全设施设计</w:t>
            </w:r>
            <w:r>
              <w:rPr>
                <w:rFonts w:hint="eastAsia"/>
                <w:color w:val="auto"/>
                <w:lang w:eastAsia="zh-CN"/>
              </w:rPr>
              <w:t>有分析，</w:t>
            </w:r>
            <w:r>
              <w:rPr>
                <w:rFonts w:hint="eastAsia"/>
                <w:color w:val="auto"/>
                <w:lang w:val="en-US" w:eastAsia="zh-CN"/>
              </w:rPr>
              <w:t>未设置排土场</w:t>
            </w:r>
          </w:p>
        </w:tc>
        <w:tc>
          <w:tcPr>
            <w:tcW w:w="1123" w:type="dxa"/>
            <w:noWrap w:val="0"/>
            <w:vAlign w:val="center"/>
          </w:tcPr>
          <w:p>
            <w:pPr>
              <w:wordWrap/>
              <w:topLinePunct w:val="0"/>
              <w:bidi w:val="0"/>
              <w:jc w:val="both"/>
              <w:textAlignment w:val="auto"/>
              <w:rPr>
                <w:rFonts w:hint="eastAsia" w:ascii="宋体" w:hAnsi="宋体"/>
                <w:color w:val="auto"/>
              </w:rPr>
            </w:pPr>
            <w:r>
              <w:rPr>
                <w:rFonts w:hint="eastAsia" w:ascii="宋体" w:hAnsi="宋体"/>
                <w:color w:val="auto"/>
              </w:rPr>
              <w:t>不存在重大隐患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711" w:type="dxa"/>
            <w:noWrap w:val="0"/>
            <w:vAlign w:val="center"/>
          </w:tcPr>
          <w:p>
            <w:pPr>
              <w:wordWrap/>
              <w:topLinePunct w:val="0"/>
              <w:bidi w:val="0"/>
              <w:jc w:val="center"/>
              <w:textAlignment w:val="auto"/>
              <w:rPr>
                <w:rFonts w:ascii="宋体" w:hAnsi="宋体"/>
                <w:color w:val="auto"/>
              </w:rPr>
            </w:pPr>
            <w:r>
              <w:rPr>
                <w:rFonts w:hint="eastAsia" w:ascii="宋体" w:hAnsi="宋体"/>
                <w:color w:val="auto"/>
              </w:rPr>
              <w:t>7</w:t>
            </w:r>
          </w:p>
        </w:tc>
        <w:tc>
          <w:tcPr>
            <w:tcW w:w="3544" w:type="dxa"/>
            <w:noWrap w:val="0"/>
            <w:vAlign w:val="center"/>
          </w:tcPr>
          <w:p>
            <w:pPr>
              <w:wordWrap/>
              <w:topLinePunct w:val="0"/>
              <w:bidi w:val="0"/>
              <w:jc w:val="both"/>
              <w:textAlignment w:val="auto"/>
              <w:rPr>
                <w:rFonts w:hint="eastAsia" w:ascii="宋体" w:hAnsi="宋体" w:eastAsia="宋体" w:cs="Times New Roman"/>
                <w:color w:val="auto"/>
                <w:lang w:val="en-US" w:eastAsia="zh-CN"/>
              </w:rPr>
            </w:pPr>
            <w:r>
              <w:rPr>
                <w:rFonts w:hint="eastAsia" w:ascii="宋体" w:hAnsi="宋体" w:eastAsia="宋体" w:cs="Times New Roman"/>
                <w:color w:val="auto"/>
                <w:lang w:val="en-US" w:eastAsia="zh-CN"/>
              </w:rPr>
              <w:t>边坡存在下列情形之一的：</w:t>
            </w:r>
          </w:p>
          <w:p>
            <w:pPr>
              <w:wordWrap/>
              <w:topLinePunct w:val="0"/>
              <w:bidi w:val="0"/>
              <w:jc w:val="both"/>
              <w:textAlignment w:val="auto"/>
              <w:rPr>
                <w:rFonts w:hint="eastAsia" w:ascii="宋体" w:hAnsi="宋体" w:eastAsia="宋体" w:cs="Times New Roman"/>
                <w:color w:val="auto"/>
                <w:lang w:val="en-US" w:eastAsia="zh-CN"/>
              </w:rPr>
            </w:pPr>
            <w:r>
              <w:rPr>
                <w:rFonts w:hint="eastAsia" w:ascii="宋体" w:hAnsi="宋体" w:eastAsia="宋体" w:cs="Times New Roman"/>
                <w:color w:val="auto"/>
                <w:lang w:val="en-US" w:eastAsia="zh-CN"/>
              </w:rPr>
              <w:t>1.高度200米及以上的采场边坡未进行在线监测；</w:t>
            </w:r>
          </w:p>
          <w:p>
            <w:pPr>
              <w:wordWrap/>
              <w:topLinePunct w:val="0"/>
              <w:bidi w:val="0"/>
              <w:jc w:val="both"/>
              <w:textAlignment w:val="auto"/>
              <w:rPr>
                <w:rFonts w:hint="eastAsia" w:ascii="宋体" w:hAnsi="宋体" w:eastAsia="宋体" w:cs="Times New Roman"/>
                <w:color w:val="auto"/>
                <w:lang w:val="en-US" w:eastAsia="zh-CN"/>
              </w:rPr>
            </w:pPr>
            <w:r>
              <w:rPr>
                <w:rFonts w:hint="eastAsia" w:ascii="宋体" w:hAnsi="宋体" w:eastAsia="宋体" w:cs="Times New Roman"/>
                <w:color w:val="auto"/>
                <w:lang w:val="en-US" w:eastAsia="zh-CN"/>
              </w:rPr>
              <w:t>2.高度200米及以上的排土场边坡未建立边坡稳定监测系统；</w:t>
            </w:r>
          </w:p>
          <w:p>
            <w:pPr>
              <w:wordWrap/>
              <w:topLinePunct w:val="0"/>
              <w:bidi w:val="0"/>
              <w:jc w:val="both"/>
              <w:textAlignment w:val="auto"/>
              <w:rPr>
                <w:rFonts w:hint="eastAsia" w:ascii="宋体" w:hAnsi="宋体"/>
                <w:color w:val="auto"/>
              </w:rPr>
            </w:pPr>
            <w:r>
              <w:rPr>
                <w:rFonts w:hint="eastAsia" w:ascii="宋体" w:hAnsi="宋体" w:eastAsia="宋体" w:cs="Times New Roman"/>
                <w:color w:val="auto"/>
                <w:lang w:val="en-US" w:eastAsia="zh-CN"/>
              </w:rPr>
              <w:t>3.关闭、破坏监测系统或者隐瞒、篡改、销毁其相关数据、信息。</w:t>
            </w:r>
          </w:p>
        </w:tc>
        <w:tc>
          <w:tcPr>
            <w:tcW w:w="1811" w:type="dxa"/>
            <w:vMerge w:val="continue"/>
            <w:noWrap w:val="0"/>
            <w:vAlign w:val="center"/>
          </w:tcPr>
          <w:p>
            <w:pPr>
              <w:wordWrap/>
              <w:topLinePunct w:val="0"/>
              <w:bidi w:val="0"/>
              <w:jc w:val="both"/>
              <w:textAlignment w:val="auto"/>
              <w:rPr>
                <w:rFonts w:hint="eastAsia" w:ascii="宋体" w:hAnsi="宋体" w:eastAsia="宋体"/>
                <w:color w:val="auto"/>
                <w:lang w:eastAsia="zh-CN"/>
              </w:rPr>
            </w:pPr>
          </w:p>
        </w:tc>
        <w:tc>
          <w:tcPr>
            <w:tcW w:w="1903" w:type="dxa"/>
            <w:noWrap w:val="0"/>
            <w:vAlign w:val="center"/>
          </w:tcPr>
          <w:p>
            <w:pPr>
              <w:wordWrap/>
              <w:topLinePunct w:val="0"/>
              <w:bidi w:val="0"/>
              <w:jc w:val="both"/>
              <w:textAlignment w:val="auto"/>
              <w:rPr>
                <w:rFonts w:ascii="宋体" w:hAnsi="宋体"/>
                <w:color w:val="auto"/>
              </w:rPr>
            </w:pPr>
            <w:r>
              <w:rPr>
                <w:rFonts w:hint="eastAsia" w:ascii="宋体" w:hAnsi="宋体"/>
                <w:color w:val="auto"/>
              </w:rPr>
              <w:t>开采高度</w:t>
            </w:r>
            <w:r>
              <w:rPr>
                <w:rFonts w:hint="eastAsia" w:ascii="宋体" w:hAnsi="宋体"/>
                <w:color w:val="auto"/>
                <w:lang w:val="en-US" w:eastAsia="zh-CN"/>
              </w:rPr>
              <w:t>45米</w:t>
            </w:r>
          </w:p>
        </w:tc>
        <w:tc>
          <w:tcPr>
            <w:tcW w:w="1123" w:type="dxa"/>
            <w:noWrap w:val="0"/>
            <w:vAlign w:val="center"/>
          </w:tcPr>
          <w:p>
            <w:pPr>
              <w:wordWrap/>
              <w:topLinePunct w:val="0"/>
              <w:bidi w:val="0"/>
              <w:jc w:val="both"/>
              <w:textAlignment w:val="auto"/>
              <w:rPr>
                <w:rFonts w:hint="eastAsia" w:ascii="宋体" w:hAnsi="宋体"/>
                <w:color w:val="auto"/>
              </w:rPr>
            </w:pPr>
            <w:r>
              <w:rPr>
                <w:rFonts w:hint="eastAsia" w:ascii="宋体" w:hAnsi="宋体"/>
                <w:color w:val="auto"/>
              </w:rPr>
              <w:t>不存在重大隐患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1" w:type="dxa"/>
            <w:noWrap w:val="0"/>
            <w:vAlign w:val="center"/>
          </w:tcPr>
          <w:p>
            <w:pPr>
              <w:wordWrap/>
              <w:topLinePunct w:val="0"/>
              <w:bidi w:val="0"/>
              <w:jc w:val="center"/>
              <w:textAlignment w:val="auto"/>
              <w:rPr>
                <w:rFonts w:ascii="宋体" w:hAnsi="宋体"/>
                <w:color w:val="auto"/>
              </w:rPr>
            </w:pPr>
            <w:r>
              <w:rPr>
                <w:rFonts w:hint="eastAsia" w:ascii="宋体" w:hAnsi="宋体"/>
                <w:color w:val="auto"/>
              </w:rPr>
              <w:t>8</w:t>
            </w:r>
          </w:p>
        </w:tc>
        <w:tc>
          <w:tcPr>
            <w:tcW w:w="3544" w:type="dxa"/>
            <w:noWrap w:val="0"/>
            <w:vAlign w:val="center"/>
          </w:tcPr>
          <w:p>
            <w:pPr>
              <w:wordWrap/>
              <w:topLinePunct w:val="0"/>
              <w:bidi w:val="0"/>
              <w:jc w:val="both"/>
              <w:textAlignment w:val="auto"/>
              <w:rPr>
                <w:rFonts w:hint="eastAsia" w:ascii="宋体" w:hAnsi="宋体"/>
                <w:color w:val="auto"/>
              </w:rPr>
            </w:pPr>
            <w:r>
              <w:rPr>
                <w:rFonts w:hint="eastAsia" w:ascii="宋体" w:hAnsi="宋体"/>
                <w:color w:val="auto"/>
              </w:rPr>
              <w:t>边坡存在滑移现象。</w:t>
            </w:r>
          </w:p>
        </w:tc>
        <w:tc>
          <w:tcPr>
            <w:tcW w:w="1811" w:type="dxa"/>
            <w:vMerge w:val="continue"/>
            <w:noWrap w:val="0"/>
            <w:vAlign w:val="center"/>
          </w:tcPr>
          <w:p>
            <w:pPr>
              <w:wordWrap/>
              <w:topLinePunct w:val="0"/>
              <w:bidi w:val="0"/>
              <w:jc w:val="both"/>
              <w:textAlignment w:val="auto"/>
              <w:rPr>
                <w:rFonts w:hint="eastAsia" w:ascii="宋体" w:hAnsi="宋体" w:eastAsia="宋体"/>
                <w:color w:val="auto"/>
                <w:lang w:eastAsia="zh-CN"/>
              </w:rPr>
            </w:pPr>
          </w:p>
        </w:tc>
        <w:tc>
          <w:tcPr>
            <w:tcW w:w="1903" w:type="dxa"/>
            <w:noWrap w:val="0"/>
            <w:vAlign w:val="center"/>
          </w:tcPr>
          <w:p>
            <w:pPr>
              <w:wordWrap/>
              <w:topLinePunct w:val="0"/>
              <w:bidi w:val="0"/>
              <w:jc w:val="both"/>
              <w:textAlignment w:val="auto"/>
              <w:rPr>
                <w:rFonts w:ascii="宋体" w:hAnsi="宋体"/>
                <w:color w:val="auto"/>
              </w:rPr>
            </w:pPr>
            <w:r>
              <w:rPr>
                <w:rFonts w:hint="eastAsia" w:ascii="宋体" w:hAnsi="宋体"/>
                <w:color w:val="auto"/>
              </w:rPr>
              <w:t>现状边坡未见滑边坡稳定</w:t>
            </w:r>
          </w:p>
        </w:tc>
        <w:tc>
          <w:tcPr>
            <w:tcW w:w="1123" w:type="dxa"/>
            <w:noWrap w:val="0"/>
            <w:vAlign w:val="center"/>
          </w:tcPr>
          <w:p>
            <w:pPr>
              <w:wordWrap/>
              <w:topLinePunct w:val="0"/>
              <w:bidi w:val="0"/>
              <w:jc w:val="both"/>
              <w:textAlignment w:val="auto"/>
              <w:rPr>
                <w:rFonts w:hint="eastAsia" w:ascii="宋体" w:hAnsi="宋体"/>
                <w:color w:val="auto"/>
              </w:rPr>
            </w:pPr>
            <w:r>
              <w:rPr>
                <w:rFonts w:hint="eastAsia" w:ascii="宋体" w:hAnsi="宋体"/>
                <w:color w:val="auto"/>
              </w:rPr>
              <w:t>不存在重大隐患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1" w:type="dxa"/>
            <w:noWrap w:val="0"/>
            <w:vAlign w:val="center"/>
          </w:tcPr>
          <w:p>
            <w:pPr>
              <w:wordWrap/>
              <w:topLinePunct w:val="0"/>
              <w:bidi w:val="0"/>
              <w:jc w:val="center"/>
              <w:textAlignment w:val="auto"/>
              <w:rPr>
                <w:rFonts w:ascii="宋体" w:hAnsi="宋体"/>
                <w:color w:val="auto"/>
              </w:rPr>
            </w:pPr>
            <w:r>
              <w:rPr>
                <w:rFonts w:hint="eastAsia" w:ascii="宋体" w:hAnsi="宋体"/>
                <w:color w:val="auto"/>
              </w:rPr>
              <w:t>9</w:t>
            </w:r>
          </w:p>
        </w:tc>
        <w:tc>
          <w:tcPr>
            <w:tcW w:w="3544" w:type="dxa"/>
            <w:noWrap w:val="0"/>
            <w:vAlign w:val="center"/>
          </w:tcPr>
          <w:p>
            <w:pPr>
              <w:wordWrap/>
              <w:topLinePunct w:val="0"/>
              <w:bidi w:val="0"/>
              <w:jc w:val="both"/>
              <w:textAlignment w:val="auto"/>
              <w:rPr>
                <w:rFonts w:hint="eastAsia" w:ascii="宋体" w:hAnsi="宋体"/>
                <w:color w:val="auto"/>
              </w:rPr>
            </w:pPr>
            <w:r>
              <w:rPr>
                <w:rFonts w:hint="eastAsia" w:ascii="宋体" w:hAnsi="宋体"/>
                <w:color w:val="auto"/>
              </w:rPr>
              <w:t>上山道路坡度大于设计坡度10%以上。</w:t>
            </w:r>
          </w:p>
        </w:tc>
        <w:tc>
          <w:tcPr>
            <w:tcW w:w="1811" w:type="dxa"/>
            <w:vMerge w:val="continue"/>
            <w:noWrap w:val="0"/>
            <w:vAlign w:val="center"/>
          </w:tcPr>
          <w:p>
            <w:pPr>
              <w:wordWrap/>
              <w:topLinePunct w:val="0"/>
              <w:bidi w:val="0"/>
              <w:jc w:val="both"/>
              <w:textAlignment w:val="auto"/>
              <w:rPr>
                <w:rFonts w:hint="eastAsia" w:ascii="宋体" w:hAnsi="宋体" w:eastAsia="宋体"/>
                <w:color w:val="auto"/>
                <w:lang w:eastAsia="zh-CN"/>
              </w:rPr>
            </w:pPr>
          </w:p>
        </w:tc>
        <w:tc>
          <w:tcPr>
            <w:tcW w:w="1903" w:type="dxa"/>
            <w:noWrap w:val="0"/>
            <w:vAlign w:val="center"/>
          </w:tcPr>
          <w:p>
            <w:pPr>
              <w:wordWrap/>
              <w:topLinePunct w:val="0"/>
              <w:bidi w:val="0"/>
              <w:jc w:val="both"/>
              <w:textAlignment w:val="auto"/>
              <w:rPr>
                <w:rFonts w:ascii="宋体" w:hAnsi="宋体"/>
                <w:color w:val="auto"/>
              </w:rPr>
            </w:pPr>
            <w:r>
              <w:rPr>
                <w:rFonts w:hint="eastAsia" w:ascii="宋体" w:hAnsi="宋体"/>
                <w:color w:val="auto"/>
              </w:rPr>
              <w:t>按设计修筑运输道路</w:t>
            </w:r>
          </w:p>
        </w:tc>
        <w:tc>
          <w:tcPr>
            <w:tcW w:w="1123" w:type="dxa"/>
            <w:noWrap w:val="0"/>
            <w:vAlign w:val="center"/>
          </w:tcPr>
          <w:p>
            <w:pPr>
              <w:wordWrap/>
              <w:topLinePunct w:val="0"/>
              <w:bidi w:val="0"/>
              <w:jc w:val="both"/>
              <w:textAlignment w:val="auto"/>
              <w:rPr>
                <w:rFonts w:hint="eastAsia" w:ascii="宋体" w:hAnsi="宋体"/>
                <w:color w:val="auto"/>
              </w:rPr>
            </w:pPr>
            <w:r>
              <w:rPr>
                <w:rFonts w:hint="eastAsia" w:ascii="宋体" w:hAnsi="宋体"/>
                <w:color w:val="auto"/>
              </w:rPr>
              <w:t>不存在重大隐患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1" w:type="dxa"/>
            <w:noWrap w:val="0"/>
            <w:vAlign w:val="center"/>
          </w:tcPr>
          <w:p>
            <w:pPr>
              <w:wordWrap/>
              <w:topLinePunct w:val="0"/>
              <w:bidi w:val="0"/>
              <w:jc w:val="center"/>
              <w:textAlignment w:val="auto"/>
              <w:rPr>
                <w:rFonts w:ascii="宋体" w:hAnsi="宋体"/>
                <w:color w:val="auto"/>
              </w:rPr>
            </w:pPr>
            <w:r>
              <w:rPr>
                <w:rFonts w:hint="eastAsia" w:ascii="宋体" w:hAnsi="宋体"/>
                <w:color w:val="auto"/>
              </w:rPr>
              <w:t>10</w:t>
            </w:r>
          </w:p>
        </w:tc>
        <w:tc>
          <w:tcPr>
            <w:tcW w:w="3544" w:type="dxa"/>
            <w:noWrap w:val="0"/>
            <w:vAlign w:val="center"/>
          </w:tcPr>
          <w:p>
            <w:pPr>
              <w:wordWrap/>
              <w:topLinePunct w:val="0"/>
              <w:bidi w:val="0"/>
              <w:jc w:val="both"/>
              <w:textAlignment w:val="auto"/>
              <w:rPr>
                <w:rFonts w:hint="eastAsia" w:ascii="宋体" w:hAnsi="宋体"/>
                <w:color w:val="auto"/>
              </w:rPr>
            </w:pPr>
            <w:r>
              <w:rPr>
                <w:rFonts w:hint="eastAsia" w:ascii="宋体" w:hAnsi="宋体" w:eastAsia="宋体" w:cs="Times New Roman"/>
                <w:color w:val="auto"/>
                <w:lang w:val="en-US" w:eastAsia="zh-CN"/>
              </w:rPr>
              <w:t>凹陷露天矿山未按设计建设防洪、排洪设施。</w:t>
            </w:r>
          </w:p>
        </w:tc>
        <w:tc>
          <w:tcPr>
            <w:tcW w:w="1811" w:type="dxa"/>
            <w:vMerge w:val="continue"/>
            <w:noWrap w:val="0"/>
            <w:vAlign w:val="center"/>
          </w:tcPr>
          <w:p>
            <w:pPr>
              <w:wordWrap/>
              <w:topLinePunct w:val="0"/>
              <w:bidi w:val="0"/>
              <w:jc w:val="both"/>
              <w:textAlignment w:val="auto"/>
              <w:rPr>
                <w:rFonts w:hint="eastAsia" w:ascii="宋体" w:hAnsi="宋体" w:eastAsia="宋体"/>
                <w:color w:val="auto"/>
                <w:lang w:eastAsia="zh-CN"/>
              </w:rPr>
            </w:pPr>
          </w:p>
        </w:tc>
        <w:tc>
          <w:tcPr>
            <w:tcW w:w="1903" w:type="dxa"/>
            <w:noWrap w:val="0"/>
            <w:vAlign w:val="center"/>
          </w:tcPr>
          <w:p>
            <w:pPr>
              <w:wordWrap/>
              <w:topLinePunct w:val="0"/>
              <w:bidi w:val="0"/>
              <w:jc w:val="both"/>
              <w:textAlignment w:val="auto"/>
              <w:rPr>
                <w:rFonts w:ascii="宋体" w:hAnsi="宋体"/>
                <w:color w:val="auto"/>
              </w:rPr>
            </w:pPr>
            <w:r>
              <w:rPr>
                <w:rFonts w:hint="eastAsia" w:ascii="宋体" w:hAnsi="宋体"/>
                <w:color w:val="auto"/>
              </w:rPr>
              <w:t>不涉及</w:t>
            </w:r>
          </w:p>
        </w:tc>
        <w:tc>
          <w:tcPr>
            <w:tcW w:w="1123" w:type="dxa"/>
            <w:noWrap w:val="0"/>
            <w:vAlign w:val="center"/>
          </w:tcPr>
          <w:p>
            <w:pPr>
              <w:wordWrap/>
              <w:topLinePunct w:val="0"/>
              <w:bidi w:val="0"/>
              <w:jc w:val="both"/>
              <w:textAlignment w:val="auto"/>
              <w:rPr>
                <w:rFonts w:hint="eastAsia" w:ascii="宋体" w:hAnsi="宋体"/>
                <w:color w:val="auto"/>
              </w:rPr>
            </w:pPr>
            <w:r>
              <w:rPr>
                <w:rFonts w:hint="eastAsia" w:ascii="宋体" w:hAnsi="宋体"/>
                <w:color w:val="auto"/>
              </w:rPr>
              <w:t>不存在重大隐患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9" w:hRule="atLeast"/>
        </w:trPr>
        <w:tc>
          <w:tcPr>
            <w:tcW w:w="711" w:type="dxa"/>
            <w:noWrap w:val="0"/>
            <w:vAlign w:val="center"/>
          </w:tcPr>
          <w:p>
            <w:pPr>
              <w:wordWrap/>
              <w:topLinePunct w:val="0"/>
              <w:bidi w:val="0"/>
              <w:jc w:val="center"/>
              <w:textAlignment w:val="auto"/>
              <w:rPr>
                <w:rFonts w:hint="eastAsia" w:ascii="宋体" w:hAnsi="宋体"/>
                <w:color w:val="auto"/>
                <w:lang w:val="en-US" w:eastAsia="zh-CN"/>
              </w:rPr>
            </w:pPr>
          </w:p>
          <w:p>
            <w:pPr>
              <w:wordWrap/>
              <w:topLinePunct w:val="0"/>
              <w:bidi w:val="0"/>
              <w:jc w:val="center"/>
              <w:textAlignment w:val="auto"/>
              <w:rPr>
                <w:rFonts w:hint="eastAsia" w:ascii="宋体" w:hAnsi="宋体"/>
                <w:color w:val="auto"/>
                <w:lang w:val="en-US" w:eastAsia="zh-CN"/>
              </w:rPr>
            </w:pPr>
          </w:p>
          <w:p>
            <w:pPr>
              <w:wordWrap/>
              <w:topLinePunct w:val="0"/>
              <w:bidi w:val="0"/>
              <w:jc w:val="center"/>
              <w:textAlignment w:val="auto"/>
              <w:rPr>
                <w:rFonts w:hint="eastAsia" w:ascii="宋体" w:hAnsi="宋体"/>
                <w:color w:val="auto"/>
                <w:lang w:val="en-US" w:eastAsia="zh-CN"/>
              </w:rPr>
            </w:pPr>
          </w:p>
          <w:p>
            <w:pPr>
              <w:wordWrap/>
              <w:topLinePunct w:val="0"/>
              <w:bidi w:val="0"/>
              <w:jc w:val="center"/>
              <w:textAlignment w:val="auto"/>
              <w:rPr>
                <w:rFonts w:hint="eastAsia" w:ascii="宋体" w:hAnsi="宋体"/>
                <w:color w:val="auto"/>
                <w:lang w:val="en-US" w:eastAsia="zh-CN"/>
              </w:rPr>
            </w:pPr>
          </w:p>
          <w:p>
            <w:pPr>
              <w:wordWrap/>
              <w:topLinePunct w:val="0"/>
              <w:bidi w:val="0"/>
              <w:jc w:val="center"/>
              <w:textAlignment w:val="auto"/>
              <w:rPr>
                <w:rFonts w:hint="default" w:ascii="宋体" w:hAnsi="宋体" w:eastAsia="宋体"/>
                <w:color w:val="auto"/>
                <w:lang w:val="en-US" w:eastAsia="zh-CN"/>
              </w:rPr>
            </w:pPr>
            <w:r>
              <w:rPr>
                <w:rFonts w:hint="eastAsia" w:ascii="宋体" w:hAnsi="宋体"/>
                <w:color w:val="auto"/>
                <w:lang w:val="en-US" w:eastAsia="zh-CN"/>
              </w:rPr>
              <w:t>11</w:t>
            </w:r>
          </w:p>
        </w:tc>
        <w:tc>
          <w:tcPr>
            <w:tcW w:w="3544" w:type="dxa"/>
            <w:noWrap w:val="0"/>
            <w:vAlign w:val="center"/>
          </w:tcPr>
          <w:p>
            <w:pPr>
              <w:wordWrap/>
              <w:topLinePunct w:val="0"/>
              <w:bidi w:val="0"/>
              <w:jc w:val="both"/>
              <w:textAlignment w:val="auto"/>
              <w:rPr>
                <w:rFonts w:hint="eastAsia" w:ascii="宋体" w:hAnsi="宋体" w:eastAsia="宋体" w:cs="Times New Roman"/>
                <w:color w:val="auto"/>
              </w:rPr>
            </w:pPr>
            <w:r>
              <w:rPr>
                <w:rFonts w:hint="eastAsia" w:ascii="宋体" w:hAnsi="宋体" w:eastAsia="宋体" w:cs="Times New Roman"/>
                <w:color w:val="auto"/>
                <w:lang w:val="en-US" w:eastAsia="zh-CN"/>
              </w:rPr>
              <w:t>排土场存在下列情形之一的：</w:t>
            </w:r>
          </w:p>
          <w:p>
            <w:pPr>
              <w:wordWrap/>
              <w:topLinePunct w:val="0"/>
              <w:bidi w:val="0"/>
              <w:jc w:val="both"/>
              <w:textAlignment w:val="auto"/>
              <w:rPr>
                <w:rFonts w:hint="eastAsia" w:ascii="宋体" w:hAnsi="宋体" w:eastAsia="宋体" w:cs="Times New Roman"/>
                <w:color w:val="auto"/>
              </w:rPr>
            </w:pPr>
            <w:r>
              <w:rPr>
                <w:rFonts w:hint="eastAsia" w:ascii="宋体" w:hAnsi="宋体" w:eastAsia="宋体" w:cs="Times New Roman"/>
                <w:color w:val="auto"/>
                <w:lang w:val="en-US" w:eastAsia="zh-CN"/>
              </w:rPr>
              <w:t>1.在平均坡度大于1:5的地基上顺坡排土，未按设计采取安全措施；</w:t>
            </w:r>
          </w:p>
          <w:p>
            <w:pPr>
              <w:wordWrap/>
              <w:topLinePunct w:val="0"/>
              <w:bidi w:val="0"/>
              <w:jc w:val="both"/>
              <w:textAlignment w:val="auto"/>
              <w:rPr>
                <w:rFonts w:hint="eastAsia" w:ascii="宋体" w:hAnsi="宋体" w:eastAsia="宋体" w:cs="Times New Roman"/>
                <w:color w:val="auto"/>
              </w:rPr>
            </w:pPr>
            <w:r>
              <w:rPr>
                <w:rFonts w:hint="eastAsia" w:ascii="宋体" w:hAnsi="宋体" w:eastAsia="宋体" w:cs="Times New Roman"/>
                <w:color w:val="auto"/>
                <w:lang w:val="en-US" w:eastAsia="zh-CN"/>
              </w:rPr>
              <w:t>2.排土场总堆置高度2倍范围以内有人员密集场所，未按设计采取安全措施；</w:t>
            </w:r>
          </w:p>
          <w:p>
            <w:pPr>
              <w:wordWrap/>
              <w:topLinePunct w:val="0"/>
              <w:bidi w:val="0"/>
              <w:jc w:val="both"/>
              <w:textAlignment w:val="auto"/>
              <w:rPr>
                <w:rFonts w:hint="eastAsia" w:ascii="宋体" w:hAnsi="宋体" w:eastAsia="宋体" w:cs="Times New Roman"/>
                <w:color w:val="auto"/>
                <w:lang w:val="en-US" w:eastAsia="zh-CN"/>
              </w:rPr>
            </w:pPr>
            <w:r>
              <w:rPr>
                <w:rFonts w:hint="eastAsia" w:ascii="宋体" w:hAnsi="宋体" w:eastAsia="宋体" w:cs="Times New Roman"/>
                <w:color w:val="auto"/>
                <w:lang w:val="en-US" w:eastAsia="zh-CN"/>
              </w:rPr>
              <w:t>3.山坡排土场周围未按设计修筑截、排水设施。</w:t>
            </w:r>
          </w:p>
        </w:tc>
        <w:tc>
          <w:tcPr>
            <w:tcW w:w="1811" w:type="dxa"/>
            <w:vMerge w:val="continue"/>
            <w:noWrap w:val="0"/>
            <w:vAlign w:val="center"/>
          </w:tcPr>
          <w:p>
            <w:pPr>
              <w:wordWrap/>
              <w:topLinePunct w:val="0"/>
              <w:bidi w:val="0"/>
              <w:jc w:val="both"/>
              <w:textAlignment w:val="auto"/>
              <w:rPr>
                <w:rFonts w:hint="eastAsia" w:ascii="宋体" w:hAnsi="宋体"/>
                <w:color w:val="auto"/>
                <w:lang w:eastAsia="zh-CN"/>
              </w:rPr>
            </w:pPr>
          </w:p>
        </w:tc>
        <w:tc>
          <w:tcPr>
            <w:tcW w:w="1903" w:type="dxa"/>
            <w:noWrap w:val="0"/>
            <w:vAlign w:val="center"/>
          </w:tcPr>
          <w:p>
            <w:pPr>
              <w:wordWrap/>
              <w:topLinePunct w:val="0"/>
              <w:bidi w:val="0"/>
              <w:jc w:val="both"/>
              <w:textAlignment w:val="auto"/>
              <w:rPr>
                <w:rFonts w:hint="default" w:ascii="宋体" w:hAnsi="宋体" w:eastAsia="宋体"/>
                <w:color w:val="auto"/>
                <w:lang w:val="en-US" w:eastAsia="zh-CN"/>
              </w:rPr>
            </w:pPr>
            <w:r>
              <w:rPr>
                <w:rFonts w:hint="eastAsia" w:ascii="宋体" w:hAnsi="宋体" w:eastAsia="宋体"/>
                <w:color w:val="auto"/>
                <w:lang w:val="en-US" w:eastAsia="zh-CN"/>
              </w:rPr>
              <w:t>未设计排土场，不涉及</w:t>
            </w:r>
          </w:p>
        </w:tc>
        <w:tc>
          <w:tcPr>
            <w:tcW w:w="1123" w:type="dxa"/>
            <w:noWrap w:val="0"/>
            <w:vAlign w:val="center"/>
          </w:tcPr>
          <w:p>
            <w:pPr>
              <w:wordWrap/>
              <w:topLinePunct w:val="0"/>
              <w:bidi w:val="0"/>
              <w:jc w:val="both"/>
              <w:textAlignment w:val="auto"/>
              <w:rPr>
                <w:rFonts w:hint="eastAsia" w:ascii="宋体" w:hAnsi="宋体"/>
                <w:color w:val="auto"/>
              </w:rPr>
            </w:pPr>
            <w:r>
              <w:rPr>
                <w:rFonts w:hint="eastAsia" w:ascii="宋体" w:hAnsi="宋体"/>
                <w:color w:val="auto"/>
              </w:rPr>
              <w:t>不存在重大隐患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1" w:type="dxa"/>
            <w:noWrap w:val="0"/>
            <w:vAlign w:val="center"/>
          </w:tcPr>
          <w:p>
            <w:pPr>
              <w:wordWrap/>
              <w:topLinePunct w:val="0"/>
              <w:bidi w:val="0"/>
              <w:jc w:val="center"/>
              <w:textAlignment w:val="auto"/>
              <w:rPr>
                <w:rFonts w:hint="eastAsia" w:ascii="宋体" w:hAnsi="宋体" w:eastAsia="宋体"/>
                <w:color w:val="auto"/>
                <w:lang w:eastAsia="zh-CN"/>
              </w:rPr>
            </w:pPr>
            <w:r>
              <w:rPr>
                <w:rFonts w:hint="eastAsia" w:ascii="宋体" w:hAnsi="宋体"/>
                <w:color w:val="auto"/>
              </w:rPr>
              <w:t>1</w:t>
            </w:r>
            <w:r>
              <w:rPr>
                <w:rFonts w:hint="eastAsia" w:ascii="宋体" w:hAnsi="宋体"/>
                <w:color w:val="auto"/>
                <w:lang w:val="en-US" w:eastAsia="zh-CN"/>
              </w:rPr>
              <w:t>2</w:t>
            </w:r>
          </w:p>
        </w:tc>
        <w:tc>
          <w:tcPr>
            <w:tcW w:w="3544" w:type="dxa"/>
            <w:noWrap w:val="0"/>
            <w:vAlign w:val="center"/>
          </w:tcPr>
          <w:p>
            <w:pPr>
              <w:wordWrap/>
              <w:topLinePunct w:val="0"/>
              <w:bidi w:val="0"/>
              <w:jc w:val="both"/>
              <w:textAlignment w:val="auto"/>
              <w:rPr>
                <w:rFonts w:hint="eastAsia" w:ascii="宋体" w:hAnsi="宋体"/>
                <w:color w:val="auto"/>
              </w:rPr>
            </w:pPr>
            <w:r>
              <w:rPr>
                <w:rFonts w:hint="eastAsia" w:ascii="宋体" w:hAnsi="宋体" w:eastAsia="宋体" w:cs="Times New Roman"/>
                <w:color w:val="auto"/>
                <w:lang w:val="en-US" w:eastAsia="zh-CN"/>
              </w:rPr>
              <w:t>露天采场未按设计设置安全平台和清扫平台。</w:t>
            </w:r>
          </w:p>
        </w:tc>
        <w:tc>
          <w:tcPr>
            <w:tcW w:w="1811" w:type="dxa"/>
            <w:vMerge w:val="continue"/>
            <w:noWrap w:val="0"/>
            <w:vAlign w:val="center"/>
          </w:tcPr>
          <w:p>
            <w:pPr>
              <w:wordWrap/>
              <w:topLinePunct w:val="0"/>
              <w:bidi w:val="0"/>
              <w:jc w:val="both"/>
              <w:textAlignment w:val="auto"/>
              <w:rPr>
                <w:rFonts w:hint="eastAsia" w:ascii="宋体" w:hAnsi="宋体" w:eastAsia="宋体"/>
                <w:color w:val="auto"/>
                <w:lang w:eastAsia="zh-CN"/>
              </w:rPr>
            </w:pPr>
          </w:p>
        </w:tc>
        <w:tc>
          <w:tcPr>
            <w:tcW w:w="1903" w:type="dxa"/>
            <w:noWrap w:val="0"/>
            <w:vAlign w:val="center"/>
          </w:tcPr>
          <w:p>
            <w:pPr>
              <w:wordWrap/>
              <w:topLinePunct w:val="0"/>
              <w:bidi w:val="0"/>
              <w:jc w:val="both"/>
              <w:textAlignment w:val="auto"/>
              <w:rPr>
                <w:rFonts w:hint="eastAsia" w:ascii="宋体" w:hAnsi="宋体" w:eastAsia="宋体"/>
                <w:color w:val="auto"/>
                <w:lang w:val="en-US" w:eastAsia="zh-CN"/>
              </w:rPr>
            </w:pPr>
            <w:r>
              <w:rPr>
                <w:rFonts w:hint="eastAsia" w:ascii="宋体" w:hAnsi="宋体"/>
                <w:color w:val="auto"/>
              </w:rPr>
              <w:t>按规程进行</w:t>
            </w:r>
            <w:r>
              <w:rPr>
                <w:rFonts w:hint="eastAsia" w:ascii="宋体" w:hAnsi="宋体"/>
                <w:color w:val="auto"/>
                <w:lang w:val="en-US" w:eastAsia="zh-CN"/>
              </w:rPr>
              <w:t>施工</w:t>
            </w:r>
          </w:p>
        </w:tc>
        <w:tc>
          <w:tcPr>
            <w:tcW w:w="1123" w:type="dxa"/>
            <w:noWrap w:val="0"/>
            <w:vAlign w:val="center"/>
          </w:tcPr>
          <w:p>
            <w:pPr>
              <w:wordWrap/>
              <w:topLinePunct w:val="0"/>
              <w:bidi w:val="0"/>
              <w:jc w:val="both"/>
              <w:textAlignment w:val="auto"/>
              <w:rPr>
                <w:rFonts w:hint="eastAsia" w:ascii="宋体" w:hAnsi="宋体"/>
                <w:color w:val="auto"/>
              </w:rPr>
            </w:pPr>
            <w:r>
              <w:rPr>
                <w:rFonts w:hint="eastAsia" w:ascii="宋体" w:hAnsi="宋体"/>
                <w:color w:val="auto"/>
              </w:rPr>
              <w:t>不存在重大隐患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1" w:type="dxa"/>
            <w:noWrap w:val="0"/>
            <w:vAlign w:val="center"/>
          </w:tcPr>
          <w:p>
            <w:pPr>
              <w:wordWrap/>
              <w:topLinePunct w:val="0"/>
              <w:bidi w:val="0"/>
              <w:jc w:val="center"/>
              <w:textAlignment w:val="auto"/>
              <w:rPr>
                <w:rFonts w:hint="default" w:ascii="宋体" w:hAnsi="宋体" w:eastAsia="宋体"/>
                <w:color w:val="auto"/>
                <w:lang w:val="en-US" w:eastAsia="zh-CN"/>
              </w:rPr>
            </w:pPr>
            <w:r>
              <w:rPr>
                <w:rFonts w:hint="eastAsia" w:ascii="宋体" w:hAnsi="宋体"/>
                <w:color w:val="auto"/>
                <w:lang w:val="en-US" w:eastAsia="zh-CN"/>
              </w:rPr>
              <w:t>13</w:t>
            </w:r>
          </w:p>
        </w:tc>
        <w:tc>
          <w:tcPr>
            <w:tcW w:w="3544" w:type="dxa"/>
            <w:noWrap w:val="0"/>
            <w:vAlign w:val="center"/>
          </w:tcPr>
          <w:p>
            <w:pPr>
              <w:wordWrap/>
              <w:topLinePunct w:val="0"/>
              <w:bidi w:val="0"/>
              <w:jc w:val="both"/>
              <w:textAlignment w:val="auto"/>
              <w:rPr>
                <w:rFonts w:hint="eastAsia" w:ascii="宋体" w:hAnsi="宋体" w:eastAsia="宋体" w:cs="Times New Roman"/>
                <w:color w:val="auto"/>
                <w:lang w:val="en-US" w:eastAsia="zh-CN"/>
              </w:rPr>
            </w:pPr>
            <w:r>
              <w:rPr>
                <w:rFonts w:hint="eastAsia" w:ascii="宋体" w:hAnsi="宋体" w:eastAsia="宋体" w:cs="Times New Roman"/>
                <w:color w:val="auto"/>
                <w:lang w:val="en-US" w:eastAsia="zh-CN"/>
              </w:rPr>
              <w:t>擅自对在用排土场进行回采作业。</w:t>
            </w:r>
          </w:p>
        </w:tc>
        <w:tc>
          <w:tcPr>
            <w:tcW w:w="1811" w:type="dxa"/>
            <w:vMerge w:val="continue"/>
            <w:noWrap w:val="0"/>
            <w:vAlign w:val="center"/>
          </w:tcPr>
          <w:p>
            <w:pPr>
              <w:wordWrap/>
              <w:topLinePunct w:val="0"/>
              <w:bidi w:val="0"/>
              <w:jc w:val="both"/>
              <w:textAlignment w:val="auto"/>
              <w:rPr>
                <w:rFonts w:hint="eastAsia" w:ascii="宋体" w:hAnsi="宋体"/>
                <w:color w:val="auto"/>
                <w:lang w:eastAsia="zh-CN"/>
              </w:rPr>
            </w:pPr>
          </w:p>
        </w:tc>
        <w:tc>
          <w:tcPr>
            <w:tcW w:w="1903" w:type="dxa"/>
            <w:noWrap w:val="0"/>
            <w:vAlign w:val="center"/>
          </w:tcPr>
          <w:p>
            <w:pPr>
              <w:wordWrap/>
              <w:topLinePunct w:val="0"/>
              <w:bidi w:val="0"/>
              <w:jc w:val="both"/>
              <w:textAlignment w:val="auto"/>
              <w:rPr>
                <w:rFonts w:hint="eastAsia" w:ascii="宋体" w:hAnsi="宋体"/>
                <w:color w:val="auto"/>
              </w:rPr>
            </w:pPr>
            <w:r>
              <w:rPr>
                <w:rFonts w:hint="eastAsia" w:ascii="宋体" w:hAnsi="宋体" w:eastAsia="宋体"/>
                <w:color w:val="auto"/>
                <w:lang w:val="en-US" w:eastAsia="zh-CN"/>
              </w:rPr>
              <w:t>未设计排土场，不涉及</w:t>
            </w:r>
          </w:p>
        </w:tc>
        <w:tc>
          <w:tcPr>
            <w:tcW w:w="1123" w:type="dxa"/>
            <w:noWrap w:val="0"/>
            <w:vAlign w:val="center"/>
          </w:tcPr>
          <w:p>
            <w:pPr>
              <w:wordWrap/>
              <w:topLinePunct w:val="0"/>
              <w:bidi w:val="0"/>
              <w:jc w:val="both"/>
              <w:textAlignment w:val="auto"/>
              <w:rPr>
                <w:rFonts w:hint="eastAsia" w:ascii="宋体" w:hAnsi="宋体"/>
                <w:color w:val="auto"/>
              </w:rPr>
            </w:pPr>
            <w:r>
              <w:rPr>
                <w:rFonts w:hint="eastAsia" w:ascii="宋体" w:hAnsi="宋体"/>
                <w:color w:val="auto"/>
              </w:rPr>
              <w:t>不存在重大隐患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1" w:type="dxa"/>
            <w:noWrap w:val="0"/>
            <w:vAlign w:val="center"/>
          </w:tcPr>
          <w:p>
            <w:pPr>
              <w:jc w:val="center"/>
              <w:rPr>
                <w:rFonts w:hint="eastAsia" w:ascii="宋体" w:hAnsi="宋体" w:eastAsia="宋体" w:cs="Times New Roman"/>
                <w:color w:val="auto"/>
                <w:kern w:val="2"/>
                <w:sz w:val="21"/>
                <w:szCs w:val="24"/>
                <w:lang w:val="en-US" w:eastAsia="zh-CN" w:bidi="ar-SA"/>
              </w:rPr>
            </w:pPr>
            <w:bookmarkStart w:id="596" w:name="_Toc102829769"/>
            <w:r>
              <w:rPr>
                <w:rFonts w:hint="eastAsia" w:ascii="宋体" w:hAnsi="宋体"/>
                <w:color w:val="auto"/>
                <w:lang w:val="en-US" w:eastAsia="zh-CN"/>
              </w:rPr>
              <w:t>14</w:t>
            </w:r>
          </w:p>
        </w:tc>
        <w:tc>
          <w:tcPr>
            <w:tcW w:w="3544" w:type="dxa"/>
            <w:noWrap w:val="0"/>
            <w:vAlign w:val="center"/>
          </w:tcPr>
          <w:p>
            <w:pPr>
              <w:jc w:val="both"/>
              <w:rPr>
                <w:rFonts w:hint="eastAsia" w:ascii="宋体" w:hAnsi="宋体" w:eastAsia="宋体" w:cs="Times New Roman"/>
                <w:color w:val="auto"/>
                <w:lang w:val="en-US" w:eastAsia="zh-CN"/>
              </w:rPr>
            </w:pPr>
            <w:r>
              <w:rPr>
                <w:rFonts w:hint="eastAsia" w:ascii="宋体" w:hAnsi="宋体" w:eastAsia="宋体" w:cs="Times New Roman"/>
                <w:color w:val="auto"/>
                <w:lang w:val="en-US" w:eastAsia="zh-CN"/>
              </w:rPr>
              <w:t>办公区、生活区等人员集聚场所设在危崖、塌陷区、崩落区，或洪水、泥石流、滑坡等灾害威胁范围内。</w:t>
            </w:r>
          </w:p>
          <w:p>
            <w:pPr>
              <w:jc w:val="both"/>
              <w:rPr>
                <w:rFonts w:hint="eastAsia" w:ascii="宋体" w:hAnsi="宋体" w:eastAsia="宋体" w:cs="Times New Roman"/>
                <w:color w:val="auto"/>
                <w:kern w:val="2"/>
                <w:sz w:val="21"/>
                <w:szCs w:val="24"/>
                <w:lang w:val="en-US" w:eastAsia="zh-CN" w:bidi="ar-SA"/>
              </w:rPr>
            </w:pPr>
          </w:p>
        </w:tc>
        <w:tc>
          <w:tcPr>
            <w:tcW w:w="1811" w:type="dxa"/>
            <w:vMerge w:val="restart"/>
            <w:noWrap w:val="0"/>
            <w:vAlign w:val="center"/>
          </w:tcPr>
          <w:p>
            <w:pPr>
              <w:jc w:val="both"/>
              <w:rPr>
                <w:rFonts w:hint="eastAsia" w:ascii="宋体" w:hAnsi="宋体" w:eastAsia="宋体" w:cs="Times New Roman"/>
                <w:color w:val="auto"/>
                <w:kern w:val="2"/>
                <w:sz w:val="21"/>
                <w:szCs w:val="24"/>
                <w:lang w:val="en-US" w:eastAsia="zh-CN" w:bidi="ar-SA"/>
              </w:rPr>
            </w:pPr>
            <w:r>
              <w:rPr>
                <w:rFonts w:hint="eastAsia" w:ascii="宋体" w:hAnsi="宋体" w:eastAsia="宋体" w:cs="Times New Roman"/>
                <w:color w:val="auto"/>
                <w:lang w:val="en-US" w:eastAsia="zh-CN"/>
              </w:rPr>
              <w:t>《金属非金属矿山重大事故隐患判定标准补充情形》（矿安〔2024〕41号）</w:t>
            </w:r>
          </w:p>
        </w:tc>
        <w:tc>
          <w:tcPr>
            <w:tcW w:w="1903" w:type="dxa"/>
            <w:noWrap w:val="0"/>
            <w:vAlign w:val="center"/>
          </w:tcPr>
          <w:p>
            <w:pPr>
              <w:jc w:val="both"/>
              <w:rPr>
                <w:rFonts w:hint="eastAsia" w:ascii="宋体" w:hAnsi="宋体" w:eastAsia="宋体" w:cs="Times New Roman"/>
                <w:color w:val="auto"/>
                <w:lang w:val="en-US" w:eastAsia="zh-CN"/>
              </w:rPr>
            </w:pPr>
            <w:r>
              <w:rPr>
                <w:rFonts w:hint="eastAsia" w:ascii="宋体" w:hAnsi="宋体" w:eastAsia="宋体" w:cs="Times New Roman"/>
                <w:color w:val="auto"/>
                <w:lang w:val="en-US" w:eastAsia="zh-CN"/>
              </w:rPr>
              <w:t>办公区、生活区等人员集聚场所未设在危崖、塌陷区、崩落区，或洪水、泥石流、滑坡等灾害威胁范围内。</w:t>
            </w:r>
          </w:p>
          <w:p>
            <w:pPr>
              <w:jc w:val="both"/>
              <w:rPr>
                <w:rFonts w:hint="eastAsia" w:ascii="宋体" w:hAnsi="宋体" w:eastAsia="宋体" w:cs="Times New Roman"/>
                <w:color w:val="auto"/>
                <w:kern w:val="2"/>
                <w:sz w:val="21"/>
                <w:szCs w:val="24"/>
                <w:lang w:val="en-US" w:eastAsia="zh-CN" w:bidi="ar-SA"/>
              </w:rPr>
            </w:pPr>
          </w:p>
        </w:tc>
        <w:tc>
          <w:tcPr>
            <w:tcW w:w="1123" w:type="dxa"/>
            <w:noWrap w:val="0"/>
            <w:vAlign w:val="center"/>
          </w:tcPr>
          <w:p>
            <w:pPr>
              <w:jc w:val="both"/>
              <w:rPr>
                <w:rFonts w:hint="eastAsia" w:ascii="宋体" w:hAnsi="宋体" w:eastAsia="宋体" w:cs="Times New Roman"/>
                <w:color w:val="auto"/>
                <w:kern w:val="2"/>
                <w:sz w:val="21"/>
                <w:szCs w:val="24"/>
                <w:lang w:val="en-US" w:eastAsia="zh-CN" w:bidi="ar-SA"/>
              </w:rPr>
            </w:pPr>
            <w:r>
              <w:rPr>
                <w:rFonts w:hint="eastAsia" w:ascii="宋体" w:hAnsi="宋体"/>
                <w:color w:val="auto"/>
              </w:rPr>
              <w:t>不存在重大隐患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1" w:type="dxa"/>
            <w:noWrap w:val="0"/>
            <w:vAlign w:val="center"/>
          </w:tcPr>
          <w:p>
            <w:pPr>
              <w:jc w:val="center"/>
              <w:rPr>
                <w:rFonts w:hint="eastAsia" w:ascii="宋体" w:hAnsi="宋体" w:eastAsia="宋体" w:cs="Times New Roman"/>
                <w:color w:val="auto"/>
                <w:kern w:val="2"/>
                <w:sz w:val="21"/>
                <w:szCs w:val="24"/>
                <w:lang w:val="en-US" w:eastAsia="zh-CN" w:bidi="ar-SA"/>
              </w:rPr>
            </w:pPr>
            <w:r>
              <w:rPr>
                <w:rFonts w:hint="eastAsia" w:ascii="宋体" w:hAnsi="宋体"/>
                <w:color w:val="auto"/>
                <w:lang w:val="en-US" w:eastAsia="zh-CN"/>
              </w:rPr>
              <w:t>15</w:t>
            </w:r>
          </w:p>
        </w:tc>
        <w:tc>
          <w:tcPr>
            <w:tcW w:w="3544" w:type="dxa"/>
            <w:noWrap w:val="0"/>
            <w:vAlign w:val="center"/>
          </w:tcPr>
          <w:p>
            <w:pPr>
              <w:jc w:val="both"/>
              <w:rPr>
                <w:rFonts w:hint="eastAsia" w:ascii="宋体" w:hAnsi="宋体" w:eastAsia="宋体" w:cs="Times New Roman"/>
                <w:color w:val="auto"/>
                <w:kern w:val="2"/>
                <w:sz w:val="21"/>
                <w:szCs w:val="24"/>
                <w:lang w:val="en-US" w:eastAsia="zh-CN" w:bidi="ar-SA"/>
              </w:rPr>
            </w:pPr>
            <w:r>
              <w:rPr>
                <w:rFonts w:hint="eastAsia" w:ascii="宋体" w:hAnsi="宋体" w:eastAsia="宋体" w:cs="Times New Roman"/>
                <w:color w:val="auto"/>
                <w:lang w:val="en-US" w:eastAsia="zh-CN"/>
              </w:rPr>
              <w:t>遇极端天气露天矿山未及时停止作业、撤出现场作业人员。</w:t>
            </w:r>
          </w:p>
        </w:tc>
        <w:tc>
          <w:tcPr>
            <w:tcW w:w="1811" w:type="dxa"/>
            <w:vMerge w:val="continue"/>
            <w:noWrap w:val="0"/>
            <w:vAlign w:val="center"/>
          </w:tcPr>
          <w:p>
            <w:pPr>
              <w:jc w:val="both"/>
              <w:rPr>
                <w:rFonts w:hint="eastAsia" w:ascii="宋体" w:hAnsi="宋体" w:eastAsia="宋体" w:cs="Times New Roman"/>
                <w:color w:val="auto"/>
                <w:kern w:val="2"/>
                <w:sz w:val="21"/>
                <w:szCs w:val="24"/>
                <w:lang w:val="en-US" w:eastAsia="zh-CN" w:bidi="ar-SA"/>
              </w:rPr>
            </w:pPr>
          </w:p>
        </w:tc>
        <w:tc>
          <w:tcPr>
            <w:tcW w:w="1903" w:type="dxa"/>
            <w:noWrap w:val="0"/>
            <w:vAlign w:val="center"/>
          </w:tcPr>
          <w:p>
            <w:pPr>
              <w:jc w:val="both"/>
              <w:rPr>
                <w:rFonts w:hint="eastAsia" w:ascii="宋体" w:hAnsi="宋体" w:eastAsia="宋体" w:cs="Times New Roman"/>
                <w:color w:val="auto"/>
                <w:kern w:val="2"/>
                <w:sz w:val="21"/>
                <w:szCs w:val="24"/>
                <w:lang w:val="en-US" w:eastAsia="zh-CN" w:bidi="ar-SA"/>
              </w:rPr>
            </w:pPr>
            <w:r>
              <w:rPr>
                <w:rFonts w:hint="eastAsia" w:ascii="宋体" w:hAnsi="宋体" w:eastAsia="宋体" w:cs="Times New Roman"/>
                <w:color w:val="auto"/>
                <w:lang w:val="en-US" w:eastAsia="zh-CN"/>
              </w:rPr>
              <w:t>遇极端天气露天矿山及时停止作业、撤出现场作业人员。</w:t>
            </w:r>
          </w:p>
        </w:tc>
        <w:tc>
          <w:tcPr>
            <w:tcW w:w="1123" w:type="dxa"/>
            <w:noWrap w:val="0"/>
            <w:vAlign w:val="center"/>
          </w:tcPr>
          <w:p>
            <w:pPr>
              <w:jc w:val="both"/>
              <w:rPr>
                <w:rFonts w:hint="eastAsia" w:ascii="宋体" w:hAnsi="宋体" w:eastAsia="宋体" w:cs="Times New Roman"/>
                <w:color w:val="auto"/>
                <w:kern w:val="2"/>
                <w:sz w:val="21"/>
                <w:szCs w:val="24"/>
                <w:lang w:val="en-US" w:eastAsia="zh-CN" w:bidi="ar-SA"/>
              </w:rPr>
            </w:pPr>
            <w:r>
              <w:rPr>
                <w:rFonts w:hint="eastAsia" w:ascii="宋体" w:hAnsi="宋体"/>
                <w:color w:val="auto"/>
              </w:rPr>
              <w:t>不存在重大隐患</w:t>
            </w:r>
          </w:p>
        </w:tc>
      </w:tr>
    </w:tbl>
    <w:p>
      <w:pPr>
        <w:pStyle w:val="47"/>
        <w:wordWrap/>
        <w:topLinePunct w:val="0"/>
        <w:bidi w:val="0"/>
        <w:spacing w:line="400" w:lineRule="exact"/>
        <w:ind w:firstLine="560" w:firstLineChars="200"/>
        <w:textAlignment w:val="auto"/>
        <w:outlineLvl w:val="2"/>
        <w:rPr>
          <w:rFonts w:hint="eastAsia" w:ascii="宋体" w:hAnsi="宋体" w:eastAsia="宋体"/>
          <w:bCs/>
          <w:color w:val="auto"/>
        </w:rPr>
      </w:pPr>
      <w:bookmarkStart w:id="597" w:name="_Toc16386"/>
      <w:r>
        <w:rPr>
          <w:rFonts w:hint="eastAsia" w:ascii="宋体" w:hAnsi="宋体" w:eastAsia="宋体"/>
          <w:bCs/>
          <w:color w:val="auto"/>
        </w:rPr>
        <w:t>4.1</w:t>
      </w:r>
      <w:r>
        <w:rPr>
          <w:rFonts w:hint="eastAsia" w:eastAsia="宋体"/>
          <w:bCs/>
          <w:color w:val="auto"/>
          <w:lang w:val="en-US" w:eastAsia="zh-CN"/>
        </w:rPr>
        <w:t>0</w:t>
      </w:r>
      <w:r>
        <w:rPr>
          <w:rFonts w:hint="eastAsia" w:ascii="宋体" w:hAnsi="宋体" w:eastAsia="宋体"/>
          <w:bCs/>
          <w:color w:val="auto"/>
        </w:rPr>
        <w:t>.2单元小结</w:t>
      </w:r>
      <w:bookmarkEnd w:id="596"/>
      <w:bookmarkEnd w:id="597"/>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kern w:val="0"/>
          <w:sz w:val="28"/>
          <w:szCs w:val="28"/>
          <w:lang w:val="zh-CN" w:eastAsia="zh-CN"/>
        </w:rPr>
      </w:pPr>
      <w:r>
        <w:rPr>
          <w:rFonts w:hint="eastAsia" w:ascii="宋体" w:hAnsi="宋体" w:eastAsia="宋体" w:cs="宋体"/>
          <w:color w:val="auto"/>
          <w:kern w:val="0"/>
          <w:sz w:val="28"/>
          <w:szCs w:val="28"/>
          <w:lang w:val="zh-CN" w:eastAsia="zh-CN"/>
        </w:rPr>
        <w:t>根据现场踏勘及对照露天非煤矿山企业重大隐患判定标准，该矿山不存在重大隐患。</w:t>
      </w:r>
      <w:bookmarkStart w:id="598" w:name="_Toc502865227"/>
    </w:p>
    <w:p>
      <w:pPr>
        <w:rPr>
          <w:rFonts w:hint="eastAsia" w:ascii="宋体" w:hAnsi="宋体" w:cs="Courier New"/>
          <w:color w:val="auto"/>
          <w:sz w:val="32"/>
          <w:szCs w:val="32"/>
          <w:lang w:eastAsia="zh-CN" w:bidi="ar-SA"/>
        </w:rPr>
      </w:pPr>
      <w:r>
        <w:rPr>
          <w:rFonts w:hint="eastAsia" w:ascii="宋体" w:hAnsi="宋体" w:cs="Courier New"/>
          <w:color w:val="auto"/>
          <w:sz w:val="32"/>
          <w:szCs w:val="32"/>
          <w:lang w:eastAsia="zh-CN" w:bidi="ar-SA"/>
        </w:rPr>
        <w:br w:type="page"/>
      </w:r>
    </w:p>
    <w:p>
      <w:pPr>
        <w:pStyle w:val="3"/>
        <w:bidi w:val="0"/>
        <w:rPr>
          <w:rFonts w:hint="eastAsia"/>
          <w:lang w:eastAsia="zh-CN"/>
        </w:rPr>
      </w:pPr>
      <w:bookmarkStart w:id="599" w:name="_Toc1294"/>
      <w:r>
        <w:rPr>
          <w:rFonts w:hint="eastAsia"/>
          <w:lang w:eastAsia="zh-CN"/>
        </w:rPr>
        <w:t>第5章</w:t>
      </w:r>
      <w:r>
        <w:rPr>
          <w:rFonts w:hint="eastAsia"/>
          <w:lang w:val="en-US" w:eastAsia="zh-CN"/>
        </w:rPr>
        <w:t xml:space="preserve">  </w:t>
      </w:r>
      <w:r>
        <w:rPr>
          <w:lang w:eastAsia="zh-CN"/>
        </w:rPr>
        <w:t>安全对策措施建议</w:t>
      </w:r>
      <w:bookmarkEnd w:id="598"/>
      <w:bookmarkEnd w:id="599"/>
    </w:p>
    <w:p>
      <w:pPr>
        <w:pStyle w:val="4"/>
        <w:bidi w:val="0"/>
        <w:rPr>
          <w:rFonts w:hint="eastAsia"/>
          <w:lang w:eastAsia="zh-CN"/>
        </w:rPr>
      </w:pPr>
      <w:bookmarkStart w:id="600" w:name="_Toc27582"/>
      <w:r>
        <w:rPr>
          <w:rFonts w:hint="eastAsia"/>
          <w:lang w:eastAsia="zh-CN"/>
        </w:rPr>
        <w:t>5.1安全对策措施</w:t>
      </w:r>
      <w:bookmarkEnd w:id="600"/>
    </w:p>
    <w:p>
      <w:pPr>
        <w:pStyle w:val="5"/>
        <w:bidi w:val="0"/>
        <w:rPr>
          <w:rFonts w:hint="eastAsia"/>
          <w:lang w:eastAsia="zh-CN"/>
        </w:rPr>
      </w:pPr>
      <w:bookmarkStart w:id="601" w:name="_Toc102829772"/>
      <w:bookmarkStart w:id="602" w:name="_Toc20920"/>
      <w:bookmarkStart w:id="603" w:name="_Toc438635227"/>
      <w:bookmarkStart w:id="604" w:name="_Toc502865233"/>
      <w:bookmarkStart w:id="605" w:name="_Toc9875"/>
      <w:bookmarkStart w:id="606" w:name="_Toc467792834"/>
      <w:bookmarkStart w:id="607" w:name="_Toc21477"/>
      <w:r>
        <w:rPr>
          <w:rFonts w:hint="eastAsia"/>
          <w:lang w:eastAsia="zh-CN"/>
        </w:rPr>
        <w:t>5.1.1总平面布置单元</w:t>
      </w:r>
      <w:bookmarkEnd w:id="601"/>
      <w:bookmarkEnd w:id="602"/>
      <w:bookmarkEnd w:id="603"/>
      <w:bookmarkEnd w:id="604"/>
      <w:bookmarkEnd w:id="605"/>
      <w:bookmarkEnd w:id="606"/>
      <w:bookmarkEnd w:id="607"/>
    </w:p>
    <w:p>
      <w:pPr>
        <w:pStyle w:val="15"/>
        <w:keepNext w:val="0"/>
        <w:keepLines w:val="0"/>
        <w:pageBreakBefore w:val="0"/>
        <w:widowControl w:val="0"/>
        <w:numPr>
          <w:ilvl w:val="0"/>
          <w:numId w:val="0"/>
        </w:numPr>
        <w:tabs>
          <w:tab w:val="left" w:pos="840"/>
          <w:tab w:val="left" w:pos="1050"/>
        </w:tabs>
        <w:kinsoku/>
        <w:wordWrap/>
        <w:overflowPunct/>
        <w:topLinePunct w:val="0"/>
        <w:autoSpaceDE/>
        <w:autoSpaceDN/>
        <w:bidi w:val="0"/>
        <w:adjustRightInd/>
        <w:snapToGrid/>
        <w:spacing w:after="0" w:line="500" w:lineRule="exact"/>
        <w:ind w:leftChars="0" w:firstLine="560" w:firstLineChars="200"/>
        <w:textAlignment w:val="auto"/>
        <w:rPr>
          <w:rFonts w:hint="eastAsia" w:ascii="宋体" w:hAnsi="宋体" w:eastAsia="宋体" w:cs="Times New Roman"/>
          <w:color w:val="auto"/>
          <w:kern w:val="2"/>
          <w:sz w:val="28"/>
          <w:szCs w:val="28"/>
          <w:lang w:val="en-US" w:eastAsia="zh-CN" w:bidi="ar-SA"/>
        </w:rPr>
      </w:pPr>
      <w:bookmarkStart w:id="608" w:name="_Toc467792828"/>
      <w:bookmarkStart w:id="609" w:name="_Toc502865228"/>
      <w:r>
        <w:rPr>
          <w:rFonts w:hint="eastAsia" w:ascii="宋体" w:hAnsi="宋体" w:cs="Times New Roman"/>
          <w:color w:val="auto"/>
          <w:kern w:val="2"/>
          <w:sz w:val="28"/>
          <w:szCs w:val="28"/>
          <w:lang w:val="en-US" w:eastAsia="zh-CN" w:bidi="ar-SA"/>
        </w:rPr>
        <w:t>1.</w:t>
      </w:r>
      <w:r>
        <w:rPr>
          <w:rFonts w:hint="eastAsia" w:ascii="宋体" w:hAnsi="宋体" w:eastAsia="宋体" w:cs="Times New Roman"/>
          <w:color w:val="auto"/>
          <w:kern w:val="2"/>
          <w:sz w:val="28"/>
          <w:szCs w:val="28"/>
          <w:lang w:val="en-US" w:eastAsia="zh-CN" w:bidi="ar-SA"/>
        </w:rPr>
        <w:t>矿区南面约166m为丰裕闸水库（灌溉用水）和一家牟定县先宝养殖场，矿山应与该养殖场签订的安全生产管理协议，且矿山开采过程中做好相应安全防范措施，并加强采区周边巡查和监测。</w:t>
      </w:r>
    </w:p>
    <w:p>
      <w:pPr>
        <w:pStyle w:val="15"/>
        <w:keepNext w:val="0"/>
        <w:keepLines w:val="0"/>
        <w:pageBreakBefore w:val="0"/>
        <w:widowControl w:val="0"/>
        <w:numPr>
          <w:ilvl w:val="0"/>
          <w:numId w:val="0"/>
        </w:numPr>
        <w:tabs>
          <w:tab w:val="left" w:pos="840"/>
          <w:tab w:val="left" w:pos="1050"/>
        </w:tabs>
        <w:kinsoku/>
        <w:wordWrap/>
        <w:overflowPunct/>
        <w:topLinePunct w:val="0"/>
        <w:autoSpaceDE/>
        <w:autoSpaceDN/>
        <w:bidi w:val="0"/>
        <w:adjustRightInd/>
        <w:snapToGrid/>
        <w:spacing w:after="0" w:line="500" w:lineRule="exact"/>
        <w:ind w:leftChars="0" w:firstLine="560"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cs="Times New Roman"/>
          <w:color w:val="auto"/>
          <w:kern w:val="2"/>
          <w:sz w:val="28"/>
          <w:szCs w:val="28"/>
          <w:lang w:val="en-US" w:eastAsia="zh-CN" w:bidi="ar-SA"/>
        </w:rPr>
        <w:t>2.</w:t>
      </w:r>
      <w:r>
        <w:rPr>
          <w:rFonts w:hint="eastAsia" w:ascii="宋体" w:hAnsi="宋体" w:eastAsia="宋体" w:cs="Times New Roman"/>
          <w:color w:val="auto"/>
          <w:kern w:val="2"/>
          <w:sz w:val="28"/>
          <w:szCs w:val="28"/>
          <w:lang w:val="en-US" w:eastAsia="zh-CN" w:bidi="ar-SA"/>
        </w:rPr>
        <w:t>矿山淤泥池、破碎站等距离开采境界较近，在后续生产过程中，矿山应加强安全生产管理，严格按照设计进行作业。</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color w:val="auto"/>
          <w:sz w:val="28"/>
          <w:szCs w:val="28"/>
        </w:rPr>
      </w:pPr>
      <w:r>
        <w:rPr>
          <w:rFonts w:hint="eastAsia" w:ascii="宋体" w:hAnsi="宋体"/>
          <w:color w:val="auto"/>
          <w:sz w:val="28"/>
          <w:szCs w:val="28"/>
          <w:lang w:val="en-US" w:eastAsia="zh-CN"/>
        </w:rPr>
        <w:t>3</w:t>
      </w:r>
      <w:r>
        <w:rPr>
          <w:rFonts w:hint="eastAsia" w:ascii="宋体" w:hAnsi="宋体"/>
          <w:color w:val="auto"/>
          <w:sz w:val="28"/>
          <w:szCs w:val="28"/>
        </w:rPr>
        <w:t>.</w:t>
      </w:r>
      <w:r>
        <w:rPr>
          <w:rFonts w:ascii="宋体" w:hAnsi="宋体"/>
          <w:color w:val="auto"/>
          <w:sz w:val="28"/>
          <w:szCs w:val="28"/>
        </w:rPr>
        <w:t>在</w:t>
      </w:r>
      <w:r>
        <w:rPr>
          <w:rFonts w:hint="eastAsia" w:ascii="宋体" w:hAnsi="宋体"/>
          <w:color w:val="auto"/>
          <w:sz w:val="28"/>
          <w:szCs w:val="28"/>
        </w:rPr>
        <w:t>采场、</w:t>
      </w:r>
      <w:r>
        <w:rPr>
          <w:rFonts w:ascii="宋体" w:hAnsi="宋体"/>
          <w:color w:val="auto"/>
          <w:sz w:val="28"/>
          <w:szCs w:val="28"/>
        </w:rPr>
        <w:t>路段和危险区域增设安全警示标志</w:t>
      </w:r>
      <w:r>
        <w:rPr>
          <w:rFonts w:hint="eastAsia" w:ascii="宋体" w:hAnsi="宋体"/>
          <w:color w:val="auto"/>
          <w:sz w:val="28"/>
          <w:szCs w:val="28"/>
        </w:rPr>
        <w:t>、标牌。</w:t>
      </w:r>
    </w:p>
    <w:p>
      <w:pPr>
        <w:pStyle w:val="5"/>
        <w:bidi w:val="0"/>
        <w:rPr>
          <w:lang w:eastAsia="zh-CN"/>
        </w:rPr>
      </w:pPr>
      <w:bookmarkStart w:id="610" w:name="_Toc467792830"/>
      <w:bookmarkStart w:id="611" w:name="_Toc502865230"/>
      <w:bookmarkStart w:id="612" w:name="_Toc102829773"/>
      <w:bookmarkStart w:id="613" w:name="_Toc19904"/>
      <w:r>
        <w:rPr>
          <w:rFonts w:hint="eastAsia"/>
          <w:lang w:eastAsia="zh-CN"/>
        </w:rPr>
        <w:t>5.1.2开拓运输</w:t>
      </w:r>
      <w:bookmarkEnd w:id="610"/>
      <w:bookmarkEnd w:id="611"/>
      <w:r>
        <w:rPr>
          <w:rFonts w:hint="eastAsia"/>
          <w:lang w:eastAsia="zh-CN"/>
        </w:rPr>
        <w:t>系统单元</w:t>
      </w:r>
      <w:bookmarkEnd w:id="612"/>
      <w:bookmarkEnd w:id="613"/>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rPr>
      </w:pPr>
      <w:bookmarkStart w:id="614" w:name="_Toc502865231"/>
      <w:bookmarkStart w:id="615" w:name="_Toc467792832"/>
      <w:r>
        <w:rPr>
          <w:rFonts w:hint="eastAsia" w:ascii="宋体" w:hAnsi="宋体" w:eastAsia="宋体" w:cs="Times New Roman"/>
          <w:color w:val="auto"/>
          <w:sz w:val="28"/>
          <w:szCs w:val="28"/>
        </w:rPr>
        <w:t>1.矿山应在危险路段设置限速标识。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color w:val="auto"/>
          <w:sz w:val="28"/>
          <w:szCs w:val="28"/>
        </w:rPr>
      </w:pPr>
      <w:r>
        <w:rPr>
          <w:rFonts w:hint="eastAsia" w:ascii="宋体" w:hAnsi="宋体" w:eastAsia="宋体" w:cs="Times New Roman"/>
          <w:color w:val="auto"/>
          <w:sz w:val="28"/>
          <w:szCs w:val="28"/>
        </w:rPr>
        <w:t>2.每次作业前对路面、台阶边缘、上下边坡、运行范围进行检查，清理边坡浮石，防止车辆压塌路面或边坡而发生翻车事故，防止滑坡、滚石砸坏车辆。</w:t>
      </w:r>
      <w:bookmarkEnd w:id="614"/>
      <w:bookmarkEnd w:id="615"/>
    </w:p>
    <w:p>
      <w:pPr>
        <w:pStyle w:val="5"/>
        <w:bidi w:val="0"/>
        <w:rPr>
          <w:rFonts w:hint="eastAsia"/>
          <w:lang w:eastAsia="zh-CN"/>
        </w:rPr>
      </w:pPr>
      <w:bookmarkStart w:id="616" w:name="_Toc102829774"/>
      <w:bookmarkStart w:id="617" w:name="_Toc29804"/>
      <w:r>
        <w:rPr>
          <w:rFonts w:hint="eastAsia"/>
          <w:lang w:eastAsia="zh-CN"/>
        </w:rPr>
        <w:t>5.1.3采剥单元</w:t>
      </w:r>
      <w:bookmarkEnd w:id="608"/>
      <w:bookmarkEnd w:id="609"/>
      <w:bookmarkEnd w:id="616"/>
      <w:bookmarkEnd w:id="617"/>
      <w:bookmarkStart w:id="618" w:name="_Toc502865229"/>
      <w:bookmarkStart w:id="619" w:name="_Toc467792829"/>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cs="Times New Roman"/>
          <w:color w:val="auto"/>
          <w:sz w:val="28"/>
          <w:szCs w:val="28"/>
          <w:lang w:val="en-US" w:eastAsia="zh-CN"/>
        </w:rPr>
        <w:t>1.</w:t>
      </w:r>
      <w:r>
        <w:rPr>
          <w:rFonts w:hint="eastAsia" w:ascii="宋体" w:hAnsi="宋体" w:eastAsia="宋体" w:cs="Times New Roman"/>
          <w:color w:val="auto"/>
          <w:sz w:val="28"/>
          <w:szCs w:val="28"/>
          <w:lang w:val="en-US" w:eastAsia="zh-CN"/>
        </w:rPr>
        <w:t>按照设计要求采取由上至下分台阶开采，严格控制边坡参数，台阶高度、工作台阶坡面角、工作平台宽度应符合设计要求。开采到最终境界时，最终边坡角最大不得大于设计要求</w:t>
      </w:r>
      <w:r>
        <w:rPr>
          <w:rFonts w:hint="eastAsia" w:ascii="宋体" w:hAnsi="宋体" w:eastAsia="宋体" w:cs="Times New Roman"/>
          <w:color w:val="auto"/>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cs="Times New Roman"/>
          <w:color w:val="auto"/>
          <w:sz w:val="28"/>
          <w:szCs w:val="28"/>
          <w:lang w:val="en-US" w:eastAsia="zh-CN"/>
        </w:rPr>
        <w:t>2.</w:t>
      </w:r>
      <w:r>
        <w:rPr>
          <w:rFonts w:hint="eastAsia" w:ascii="宋体" w:hAnsi="宋体" w:eastAsia="宋体" w:cs="Times New Roman"/>
          <w:color w:val="auto"/>
          <w:sz w:val="28"/>
          <w:szCs w:val="28"/>
        </w:rPr>
        <w:t>加强对露天采场边坡监测与检查，在边坡危险区域设置相应的安全警示标志。</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cs="Times New Roman"/>
          <w:color w:val="auto"/>
          <w:sz w:val="28"/>
          <w:szCs w:val="28"/>
          <w:lang w:val="en-US" w:eastAsia="zh-CN"/>
        </w:rPr>
        <w:t>3.</w:t>
      </w:r>
      <w:r>
        <w:rPr>
          <w:rFonts w:hint="eastAsia" w:ascii="宋体" w:hAnsi="宋体" w:eastAsia="宋体" w:cs="Times New Roman"/>
          <w:color w:val="auto"/>
          <w:sz w:val="28"/>
          <w:szCs w:val="28"/>
        </w:rPr>
        <w:t>作业前应对采场边坡孤石、浮石进行清理，待清理干净后方可进行下一道工序作业，避免发生滚石伤人事故；同时作业人员在清理浮石时，应按照规范要求正确佩戴符</w:t>
      </w:r>
      <w:r>
        <w:rPr>
          <w:rFonts w:hint="eastAsia" w:ascii="宋体" w:hAnsi="宋体" w:eastAsia="宋体" w:cs="Times New Roman"/>
          <w:color w:val="auto"/>
          <w:sz w:val="28"/>
          <w:szCs w:val="28"/>
          <w:lang w:val="en-US" w:eastAsia="zh-CN"/>
        </w:rPr>
        <w:t>合</w:t>
      </w:r>
      <w:r>
        <w:rPr>
          <w:rFonts w:hint="eastAsia" w:ascii="宋体" w:hAnsi="宋体" w:eastAsia="宋体" w:cs="Times New Roman"/>
          <w:color w:val="auto"/>
          <w:sz w:val="28"/>
          <w:szCs w:val="28"/>
        </w:rPr>
        <w:t>要求的安全带，并将安全带固定在牢靠地点。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cs="Times New Roman"/>
          <w:color w:val="auto"/>
          <w:sz w:val="28"/>
          <w:szCs w:val="28"/>
          <w:lang w:val="en-US" w:eastAsia="zh-CN"/>
        </w:rPr>
        <w:t>4.</w:t>
      </w:r>
      <w:r>
        <w:rPr>
          <w:rFonts w:hint="eastAsia" w:ascii="宋体" w:hAnsi="宋体" w:eastAsia="宋体" w:cs="Times New Roman"/>
          <w:color w:val="auto"/>
          <w:sz w:val="28"/>
          <w:szCs w:val="28"/>
        </w:rPr>
        <w:t>健全边坡管理制度，</w:t>
      </w:r>
      <w:r>
        <w:rPr>
          <w:rFonts w:hint="eastAsia" w:ascii="宋体" w:hAnsi="宋体" w:eastAsia="宋体" w:cs="Times New Roman"/>
          <w:color w:val="auto"/>
          <w:sz w:val="28"/>
          <w:szCs w:val="28"/>
          <w:lang w:val="en-US" w:eastAsia="zh-CN"/>
        </w:rPr>
        <w:t>派专人负责边坡安全管理，加强对边坡的检查、监测，发现可疑情况须及时解决。</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cs="Times New Roman"/>
          <w:color w:val="auto"/>
          <w:sz w:val="28"/>
          <w:szCs w:val="28"/>
          <w:lang w:val="en-US" w:eastAsia="zh-CN"/>
        </w:rPr>
        <w:t>5.</w:t>
      </w:r>
      <w:r>
        <w:rPr>
          <w:rFonts w:hint="eastAsia" w:ascii="宋体" w:hAnsi="宋体" w:eastAsia="宋体" w:cs="Times New Roman"/>
          <w:color w:val="auto"/>
          <w:sz w:val="28"/>
          <w:szCs w:val="28"/>
        </w:rPr>
        <w:t>严格控制边坡角度，随时注意工作面上方坡度及危岩的变化及松动情况，发现异常情况及时处理，清理上方松动岩石，防止片帮事故发生。</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cs="Times New Roman"/>
          <w:color w:val="auto"/>
          <w:sz w:val="28"/>
          <w:szCs w:val="28"/>
          <w:lang w:val="en-US" w:eastAsia="zh-CN"/>
        </w:rPr>
        <w:t>6.</w:t>
      </w:r>
      <w:r>
        <w:rPr>
          <w:rFonts w:hint="eastAsia" w:ascii="宋体" w:hAnsi="宋体" w:eastAsia="宋体" w:cs="Times New Roman"/>
          <w:color w:val="auto"/>
          <w:sz w:val="28"/>
          <w:szCs w:val="28"/>
        </w:rPr>
        <w:t>完善采场地表及边坡的防排水设施。</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cs="Times New Roman"/>
          <w:color w:val="auto"/>
          <w:sz w:val="28"/>
          <w:szCs w:val="28"/>
          <w:lang w:val="en-US" w:eastAsia="zh-CN"/>
        </w:rPr>
        <w:t>7.</w:t>
      </w:r>
      <w:r>
        <w:rPr>
          <w:rFonts w:hint="eastAsia" w:ascii="宋体" w:hAnsi="宋体" w:eastAsia="宋体" w:cs="Times New Roman"/>
          <w:color w:val="auto"/>
          <w:sz w:val="28"/>
          <w:szCs w:val="28"/>
          <w:lang w:val="en-US" w:eastAsia="zh-CN"/>
        </w:rPr>
        <w:t>在露天境界边界设可靠围栏和醒目的警示标志，防止无关人员误入及发生高处坠落</w:t>
      </w:r>
      <w:r>
        <w:rPr>
          <w:rFonts w:hint="eastAsia" w:ascii="宋体" w:hAnsi="宋体" w:eastAsia="宋体" w:cs="Times New Roman"/>
          <w:color w:val="auto"/>
          <w:sz w:val="28"/>
          <w:szCs w:val="28"/>
        </w:rPr>
        <w:t>。</w:t>
      </w:r>
    </w:p>
    <w:p>
      <w:pPr>
        <w:pStyle w:val="5"/>
        <w:bidi w:val="0"/>
        <w:rPr>
          <w:lang w:eastAsia="zh-CN"/>
        </w:rPr>
      </w:pPr>
      <w:bookmarkStart w:id="620" w:name="_Toc102829775"/>
      <w:bookmarkStart w:id="621" w:name="_Toc544"/>
      <w:r>
        <w:rPr>
          <w:rFonts w:hint="eastAsia"/>
          <w:lang w:eastAsia="zh-CN"/>
        </w:rPr>
        <w:t>5.1.4采场防排水系统单元</w:t>
      </w:r>
      <w:bookmarkEnd w:id="620"/>
      <w:bookmarkEnd w:id="621"/>
    </w:p>
    <w:p>
      <w:pPr>
        <w:pStyle w:val="15"/>
        <w:keepNext w:val="0"/>
        <w:keepLines w:val="0"/>
        <w:pageBreakBefore w:val="0"/>
        <w:widowControl w:val="0"/>
        <w:numPr>
          <w:ilvl w:val="0"/>
          <w:numId w:val="1"/>
        </w:numPr>
        <w:kinsoku/>
        <w:wordWrap/>
        <w:overflowPunct/>
        <w:topLinePunct w:val="0"/>
        <w:autoSpaceDE/>
        <w:autoSpaceDN/>
        <w:bidi w:val="0"/>
        <w:adjustRightInd/>
        <w:snapToGrid/>
        <w:spacing w:after="0" w:line="500" w:lineRule="exact"/>
        <w:ind w:leftChars="0" w:firstLine="560" w:firstLineChars="200"/>
        <w:textAlignment w:val="auto"/>
        <w:rPr>
          <w:rFonts w:hint="default" w:ascii="Times New Roman" w:eastAsia="宋体"/>
          <w:spacing w:val="0"/>
          <w:sz w:val="28"/>
        </w:rPr>
      </w:pPr>
      <w:bookmarkStart w:id="622" w:name="_Toc340820273"/>
      <w:r>
        <w:rPr>
          <w:rFonts w:hint="default" w:ascii="Times New Roman" w:eastAsia="宋体"/>
          <w:spacing w:val="0"/>
          <w:sz w:val="28"/>
        </w:rPr>
        <w:t>应按照设计要求在采场清扫平台设置排水沟，完善矿山防排水系统的设置，避免雨水对采场边坡的冲刷破坏造成滑坡、边坡塌方等危害。</w:t>
      </w:r>
    </w:p>
    <w:p>
      <w:pPr>
        <w:pStyle w:val="15"/>
        <w:keepNext w:val="0"/>
        <w:keepLines w:val="0"/>
        <w:pageBreakBefore w:val="0"/>
        <w:widowControl w:val="0"/>
        <w:numPr>
          <w:ilvl w:val="0"/>
          <w:numId w:val="1"/>
        </w:numPr>
        <w:kinsoku/>
        <w:wordWrap/>
        <w:overflowPunct/>
        <w:topLinePunct w:val="0"/>
        <w:autoSpaceDE/>
        <w:autoSpaceDN/>
        <w:bidi w:val="0"/>
        <w:adjustRightInd/>
        <w:snapToGrid/>
        <w:spacing w:after="0" w:line="500" w:lineRule="exact"/>
        <w:ind w:leftChars="0" w:firstLine="560" w:firstLineChars="200"/>
        <w:textAlignment w:val="auto"/>
        <w:rPr>
          <w:rFonts w:hint="eastAsia" w:ascii="Times New Roman" w:hAnsi="Times New Roman" w:eastAsia="宋体" w:cs="Times New Roman"/>
          <w:spacing w:val="0"/>
          <w:sz w:val="28"/>
        </w:rPr>
      </w:pPr>
      <w:r>
        <w:rPr>
          <w:rFonts w:hint="eastAsia" w:ascii="Times New Roman" w:hAnsi="Times New Roman" w:eastAsia="宋体" w:cs="Times New Roman"/>
          <w:spacing w:val="0"/>
          <w:sz w:val="28"/>
        </w:rPr>
        <w:t>雨季来临前，应对矿山所有供排水系统进行一次大检查，并将影响矿山生产、生活的隐患及时</w:t>
      </w:r>
      <w:r>
        <w:rPr>
          <w:rFonts w:hint="eastAsia" w:ascii="Times New Roman" w:hAnsi="Times New Roman" w:eastAsia="宋体" w:cs="Times New Roman"/>
          <w:spacing w:val="0"/>
          <w:sz w:val="28"/>
          <w:lang w:eastAsia="zh-CN"/>
        </w:rPr>
        <w:t>排除</w:t>
      </w:r>
      <w:r>
        <w:rPr>
          <w:rFonts w:hint="eastAsia" w:ascii="Times New Roman" w:hAnsi="Times New Roman" w:eastAsia="宋体" w:cs="Times New Roman"/>
          <w:spacing w:val="0"/>
          <w:sz w:val="28"/>
        </w:rPr>
        <w:t>，同时加大对汛期的安全检查力度</w:t>
      </w:r>
      <w:r>
        <w:rPr>
          <w:rFonts w:hint="eastAsia" w:ascii="Times New Roman" w:hAnsi="Times New Roman" w:cs="Times New Roman"/>
          <w:spacing w:val="0"/>
          <w:sz w:val="28"/>
          <w:lang w:eastAsia="zh-CN"/>
        </w:rPr>
        <w:t>。</w:t>
      </w:r>
    </w:p>
    <w:p>
      <w:pPr>
        <w:pStyle w:val="15"/>
        <w:keepNext w:val="0"/>
        <w:keepLines w:val="0"/>
        <w:pageBreakBefore w:val="0"/>
        <w:widowControl w:val="0"/>
        <w:numPr>
          <w:ilvl w:val="0"/>
          <w:numId w:val="1"/>
        </w:numPr>
        <w:kinsoku/>
        <w:wordWrap/>
        <w:overflowPunct/>
        <w:topLinePunct w:val="0"/>
        <w:autoSpaceDE/>
        <w:autoSpaceDN/>
        <w:bidi w:val="0"/>
        <w:adjustRightInd/>
        <w:snapToGrid/>
        <w:spacing w:after="0" w:line="500" w:lineRule="exact"/>
        <w:ind w:leftChars="0" w:firstLine="560" w:firstLineChars="200"/>
        <w:textAlignment w:val="auto"/>
        <w:rPr>
          <w:rFonts w:ascii="Times New Roman" w:eastAsia="宋体"/>
          <w:spacing w:val="0"/>
          <w:sz w:val="28"/>
        </w:rPr>
      </w:pPr>
      <w:r>
        <w:rPr>
          <w:rFonts w:hint="eastAsia" w:ascii="Times New Roman" w:eastAsia="宋体"/>
          <w:spacing w:val="0"/>
          <w:sz w:val="28"/>
          <w:lang w:val="en-US" w:eastAsia="zh-CN"/>
        </w:rPr>
        <w:t>加强对排水系统的维护，定期对矿区内排水沟等排水安全设施进行清理</w:t>
      </w:r>
      <w:r>
        <w:rPr>
          <w:rFonts w:hint="eastAsia" w:ascii="Times New Roman" w:eastAsia="宋体"/>
          <w:spacing w:val="0"/>
          <w:sz w:val="28"/>
        </w:rPr>
        <w:t>。</w:t>
      </w:r>
    </w:p>
    <w:bookmarkEnd w:id="622"/>
    <w:p>
      <w:pPr>
        <w:pStyle w:val="5"/>
        <w:bidi w:val="0"/>
        <w:rPr>
          <w:lang w:eastAsia="zh-CN"/>
        </w:rPr>
      </w:pPr>
      <w:bookmarkStart w:id="623" w:name="_Toc102829776"/>
      <w:bookmarkStart w:id="624" w:name="_Toc22663"/>
      <w:r>
        <w:rPr>
          <w:rFonts w:hint="eastAsia"/>
          <w:lang w:eastAsia="zh-CN"/>
        </w:rPr>
        <w:t>5.1.5供配电单元</w:t>
      </w:r>
      <w:bookmarkEnd w:id="623"/>
      <w:bookmarkEnd w:id="624"/>
    </w:p>
    <w:bookmarkEnd w:id="618"/>
    <w:bookmarkEnd w:id="619"/>
    <w:p>
      <w:pPr>
        <w:pStyle w:val="15"/>
        <w:keepNext w:val="0"/>
        <w:keepLines w:val="0"/>
        <w:pageBreakBefore w:val="0"/>
        <w:widowControl w:val="0"/>
        <w:numPr>
          <w:ilvl w:val="0"/>
          <w:numId w:val="2"/>
        </w:numPr>
        <w:kinsoku/>
        <w:wordWrap/>
        <w:overflowPunct/>
        <w:topLinePunct w:val="0"/>
        <w:autoSpaceDE/>
        <w:autoSpaceDN/>
        <w:bidi w:val="0"/>
        <w:adjustRightInd/>
        <w:snapToGrid/>
        <w:spacing w:after="0" w:line="500" w:lineRule="exact"/>
        <w:ind w:left="0" w:leftChars="0" w:firstLine="560" w:firstLineChars="200"/>
        <w:textAlignment w:val="auto"/>
        <w:rPr>
          <w:rFonts w:ascii="Times New Roman" w:eastAsia="宋体"/>
          <w:spacing w:val="0"/>
          <w:sz w:val="28"/>
        </w:rPr>
      </w:pPr>
      <w:bookmarkStart w:id="625" w:name="_Toc102829777"/>
      <w:bookmarkStart w:id="626" w:name="_Toc467792838"/>
      <w:bookmarkStart w:id="627" w:name="_Toc502865237"/>
      <w:r>
        <w:rPr>
          <w:rFonts w:hint="eastAsia" w:ascii="Times New Roman" w:eastAsia="宋体"/>
          <w:spacing w:val="0"/>
          <w:sz w:val="28"/>
        </w:rPr>
        <w:t>规范电线电缆的敷设，电气设备可能被人触及的裸露带电部分，应严格按照规定设置保护罩或遮栏及警示标志。</w:t>
      </w:r>
    </w:p>
    <w:p>
      <w:pPr>
        <w:pStyle w:val="15"/>
        <w:keepNext w:val="0"/>
        <w:keepLines w:val="0"/>
        <w:pageBreakBefore w:val="0"/>
        <w:widowControl w:val="0"/>
        <w:numPr>
          <w:ilvl w:val="0"/>
          <w:numId w:val="2"/>
        </w:numPr>
        <w:kinsoku/>
        <w:wordWrap/>
        <w:overflowPunct/>
        <w:topLinePunct w:val="0"/>
        <w:autoSpaceDE/>
        <w:autoSpaceDN/>
        <w:bidi w:val="0"/>
        <w:adjustRightInd/>
        <w:snapToGrid/>
        <w:spacing w:after="0" w:line="500" w:lineRule="exact"/>
        <w:ind w:left="0" w:leftChars="0" w:firstLine="560" w:firstLineChars="200"/>
        <w:textAlignment w:val="auto"/>
        <w:rPr>
          <w:rFonts w:ascii="Times New Roman" w:eastAsia="宋体"/>
          <w:spacing w:val="0"/>
          <w:sz w:val="28"/>
        </w:rPr>
      </w:pPr>
      <w:r>
        <w:rPr>
          <w:rFonts w:ascii="Times New Roman" w:eastAsia="宋体"/>
          <w:spacing w:val="0"/>
          <w:sz w:val="28"/>
        </w:rPr>
        <w:t>加强供配电设施的安全管理，完善供配电设施的过流保护、接地保护和漏电保</w:t>
      </w:r>
      <w:r>
        <w:rPr>
          <w:rFonts w:hint="eastAsia" w:ascii="Times New Roman" w:eastAsia="宋体"/>
          <w:spacing w:val="0"/>
          <w:sz w:val="28"/>
          <w:lang w:val="en-US" w:eastAsia="zh-CN"/>
        </w:rPr>
        <w:t>护</w:t>
      </w:r>
      <w:r>
        <w:rPr>
          <w:rFonts w:ascii="Times New Roman" w:eastAsia="宋体"/>
          <w:spacing w:val="0"/>
          <w:sz w:val="28"/>
        </w:rPr>
        <w:t>，规范铺设供电线路，对变配电设施设置必要的安全防护设施和安全警示，配置必要的消防设备，有效预防电器火灾</w:t>
      </w:r>
      <w:r>
        <w:rPr>
          <w:rFonts w:hint="eastAsia" w:ascii="Times New Roman" w:eastAsia="宋体"/>
          <w:spacing w:val="0"/>
          <w:sz w:val="28"/>
        </w:rPr>
        <w:t>。</w:t>
      </w:r>
    </w:p>
    <w:p>
      <w:pPr>
        <w:pStyle w:val="15"/>
        <w:keepNext w:val="0"/>
        <w:keepLines w:val="0"/>
        <w:pageBreakBefore w:val="0"/>
        <w:widowControl w:val="0"/>
        <w:numPr>
          <w:ilvl w:val="0"/>
          <w:numId w:val="2"/>
        </w:numPr>
        <w:kinsoku/>
        <w:wordWrap/>
        <w:overflowPunct/>
        <w:topLinePunct w:val="0"/>
        <w:autoSpaceDE/>
        <w:autoSpaceDN/>
        <w:bidi w:val="0"/>
        <w:adjustRightInd/>
        <w:snapToGrid/>
        <w:spacing w:after="0" w:line="500" w:lineRule="exact"/>
        <w:ind w:left="0" w:leftChars="0" w:firstLine="560" w:firstLineChars="200"/>
        <w:textAlignment w:val="auto"/>
        <w:rPr>
          <w:rFonts w:hint="eastAsia" w:ascii="Times New Roman" w:eastAsia="宋体"/>
          <w:spacing w:val="0"/>
          <w:sz w:val="28"/>
        </w:rPr>
      </w:pPr>
      <w:r>
        <w:rPr>
          <w:rFonts w:hint="eastAsia" w:ascii="Times New Roman" w:eastAsia="宋体"/>
          <w:spacing w:val="0"/>
          <w:sz w:val="28"/>
        </w:rPr>
        <w:t>在进行电气检修作业应有人员监督、并设置“有人作业，禁止合闸”等标志。</w:t>
      </w:r>
    </w:p>
    <w:p>
      <w:pPr>
        <w:pStyle w:val="5"/>
        <w:bidi w:val="0"/>
        <w:rPr>
          <w:rFonts w:hint="eastAsia"/>
          <w:lang w:eastAsia="zh-CN"/>
        </w:rPr>
      </w:pPr>
      <w:bookmarkStart w:id="628" w:name="_Toc2231"/>
      <w:r>
        <w:rPr>
          <w:rFonts w:hint="eastAsia"/>
          <w:lang w:eastAsia="zh-CN"/>
        </w:rPr>
        <w:t>5.1.6个人安全防护单元</w:t>
      </w:r>
      <w:bookmarkEnd w:id="625"/>
      <w:bookmarkEnd w:id="628"/>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1.为从业人员发放合格的劳动防护用品并督促正确佩戴。</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2.定期为工人检查身体以确保工人的健康。</w:t>
      </w:r>
    </w:p>
    <w:p>
      <w:pPr>
        <w:pStyle w:val="5"/>
        <w:bidi w:val="0"/>
        <w:rPr>
          <w:lang w:eastAsia="zh-CN"/>
        </w:rPr>
      </w:pPr>
      <w:bookmarkStart w:id="629" w:name="_Toc102829778"/>
      <w:bookmarkStart w:id="630" w:name="_Toc6972"/>
      <w:r>
        <w:rPr>
          <w:rFonts w:hint="eastAsia"/>
          <w:lang w:eastAsia="zh-CN"/>
        </w:rPr>
        <w:t>5.1.7安全标志</w:t>
      </w:r>
      <w:bookmarkEnd w:id="629"/>
      <w:bookmarkEnd w:id="630"/>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rPr>
      </w:pPr>
      <w:r>
        <w:rPr>
          <w:rFonts w:hint="eastAsia" w:ascii="宋体" w:hAnsi="宋体" w:eastAsia="宋体" w:cs="Times New Roman"/>
          <w:color w:val="auto"/>
          <w:sz w:val="28"/>
          <w:szCs w:val="28"/>
        </w:rPr>
        <w:t>矿山应在开采作业、</w:t>
      </w:r>
      <w:r>
        <w:rPr>
          <w:rFonts w:hint="eastAsia" w:ascii="宋体" w:hAnsi="宋体" w:cs="Times New Roman"/>
          <w:color w:val="auto"/>
          <w:sz w:val="28"/>
          <w:szCs w:val="28"/>
          <w:lang w:val="en-US" w:eastAsia="zh-CN"/>
        </w:rPr>
        <w:t>加工区</w:t>
      </w:r>
      <w:r>
        <w:rPr>
          <w:rFonts w:hint="eastAsia" w:ascii="宋体" w:hAnsi="宋体" w:eastAsia="宋体" w:cs="Times New Roman"/>
          <w:color w:val="auto"/>
          <w:sz w:val="28"/>
          <w:szCs w:val="28"/>
        </w:rPr>
        <w:t>、采装运输、供电设备、危险路段、采场境界等设置安全警示标志。</w:t>
      </w:r>
    </w:p>
    <w:p>
      <w:pPr>
        <w:pStyle w:val="5"/>
        <w:bidi w:val="0"/>
        <w:rPr>
          <w:rFonts w:hint="eastAsia"/>
          <w:lang w:eastAsia="zh-CN"/>
        </w:rPr>
      </w:pPr>
      <w:bookmarkStart w:id="631" w:name="_Toc102829780"/>
      <w:bookmarkStart w:id="632" w:name="_Toc10613"/>
      <w:r>
        <w:rPr>
          <w:rFonts w:hint="eastAsia"/>
          <w:lang w:eastAsia="zh-CN"/>
        </w:rPr>
        <w:t>5.1.</w:t>
      </w:r>
      <w:r>
        <w:rPr>
          <w:rFonts w:hint="eastAsia"/>
          <w:lang w:val="en-US" w:eastAsia="zh-CN"/>
        </w:rPr>
        <w:t>8</w:t>
      </w:r>
      <w:r>
        <w:rPr>
          <w:rFonts w:hint="eastAsia"/>
          <w:lang w:eastAsia="zh-CN"/>
        </w:rPr>
        <w:t>安全</w:t>
      </w:r>
      <w:bookmarkEnd w:id="626"/>
      <w:r>
        <w:rPr>
          <w:rFonts w:hint="eastAsia"/>
          <w:lang w:eastAsia="zh-CN"/>
        </w:rPr>
        <w:t>管理单元</w:t>
      </w:r>
      <w:bookmarkEnd w:id="627"/>
      <w:bookmarkEnd w:id="631"/>
      <w:bookmarkEnd w:id="632"/>
    </w:p>
    <w:p>
      <w:pPr>
        <w:pStyle w:val="15"/>
        <w:keepNext w:val="0"/>
        <w:keepLines w:val="0"/>
        <w:pageBreakBefore w:val="0"/>
        <w:widowControl w:val="0"/>
        <w:numPr>
          <w:ilvl w:val="0"/>
          <w:numId w:val="3"/>
        </w:numPr>
        <w:kinsoku/>
        <w:wordWrap/>
        <w:overflowPunct/>
        <w:topLinePunct w:val="0"/>
        <w:autoSpaceDE/>
        <w:autoSpaceDN/>
        <w:bidi w:val="0"/>
        <w:adjustRightInd/>
        <w:snapToGrid/>
        <w:spacing w:after="0" w:line="500" w:lineRule="exact"/>
        <w:ind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lang w:val="zh-CN" w:eastAsia="zh-CN"/>
        </w:rPr>
        <w:t>建立边坡安全管理制度，加强边坡监测及不稳定边坡的监测</w:t>
      </w:r>
      <w:r>
        <w:rPr>
          <w:rFonts w:hint="eastAsia" w:ascii="宋体" w:hAnsi="宋体" w:eastAsia="宋体" w:cs="宋体"/>
          <w:spacing w:val="0"/>
          <w:sz w:val="28"/>
        </w:rPr>
        <w:t>。</w:t>
      </w:r>
    </w:p>
    <w:p>
      <w:pPr>
        <w:pStyle w:val="15"/>
        <w:keepNext w:val="0"/>
        <w:keepLines w:val="0"/>
        <w:pageBreakBefore w:val="0"/>
        <w:widowControl w:val="0"/>
        <w:numPr>
          <w:ilvl w:val="0"/>
          <w:numId w:val="3"/>
        </w:numPr>
        <w:kinsoku/>
        <w:wordWrap/>
        <w:overflowPunct/>
        <w:topLinePunct w:val="0"/>
        <w:autoSpaceDE/>
        <w:autoSpaceDN/>
        <w:bidi w:val="0"/>
        <w:adjustRightInd/>
        <w:snapToGrid/>
        <w:spacing w:after="0" w:line="500" w:lineRule="exact"/>
        <w:ind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lang w:val="zh-CN"/>
        </w:rPr>
        <w:t>严格执行并落实安全生产责任制、安全生产管理制度、安全操作规程，根据矿山实际生产情况，不断补充和完善企业的安全生产管理制度、安全操作规程</w:t>
      </w:r>
      <w:r>
        <w:rPr>
          <w:rFonts w:hint="eastAsia" w:ascii="宋体" w:hAnsi="宋体" w:eastAsia="宋体" w:cs="宋体"/>
          <w:spacing w:val="0"/>
          <w:sz w:val="28"/>
        </w:rPr>
        <w:t>。</w:t>
      </w:r>
    </w:p>
    <w:p>
      <w:pPr>
        <w:pStyle w:val="15"/>
        <w:keepNext w:val="0"/>
        <w:keepLines w:val="0"/>
        <w:pageBreakBefore w:val="0"/>
        <w:widowControl w:val="0"/>
        <w:numPr>
          <w:ilvl w:val="0"/>
          <w:numId w:val="3"/>
        </w:numPr>
        <w:kinsoku/>
        <w:wordWrap/>
        <w:overflowPunct/>
        <w:topLinePunct w:val="0"/>
        <w:autoSpaceDE/>
        <w:autoSpaceDN/>
        <w:bidi w:val="0"/>
        <w:adjustRightInd/>
        <w:snapToGrid/>
        <w:spacing w:after="0" w:line="500" w:lineRule="exact"/>
        <w:ind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lang w:val="en-US" w:eastAsia="zh-CN"/>
        </w:rPr>
        <w:t>加强作业人员的安全教育、培训，提高作业人员的素质和安全技能及识别、预防、处理事故的能力，提高安全意识。</w:t>
      </w:r>
    </w:p>
    <w:p>
      <w:pPr>
        <w:pStyle w:val="15"/>
        <w:keepNext w:val="0"/>
        <w:keepLines w:val="0"/>
        <w:pageBreakBefore w:val="0"/>
        <w:widowControl w:val="0"/>
        <w:numPr>
          <w:ilvl w:val="0"/>
          <w:numId w:val="3"/>
        </w:numPr>
        <w:kinsoku/>
        <w:wordWrap/>
        <w:overflowPunct/>
        <w:topLinePunct w:val="0"/>
        <w:autoSpaceDE/>
        <w:autoSpaceDN/>
        <w:bidi w:val="0"/>
        <w:adjustRightInd/>
        <w:snapToGrid/>
        <w:spacing w:after="0" w:line="500" w:lineRule="exact"/>
        <w:ind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rPr>
        <w:t>矿山应按照《安全生产法》及《云南省安全生产条例》的规定建立健全</w:t>
      </w:r>
      <w:r>
        <w:rPr>
          <w:rFonts w:hint="eastAsia" w:ascii="宋体" w:hAnsi="宋体" w:eastAsia="宋体" w:cs="宋体"/>
          <w:spacing w:val="0"/>
          <w:sz w:val="28"/>
          <w:lang w:eastAsia="zh-CN"/>
        </w:rPr>
        <w:t>各级安全生产会议记录档案、各类从业人员安全教育培训、考核、持证情况档案、现场安全检查、事故隐患</w:t>
      </w:r>
      <w:r>
        <w:rPr>
          <w:rFonts w:hint="eastAsia" w:ascii="宋体" w:hAnsi="宋体" w:eastAsia="宋体" w:cs="宋体"/>
          <w:spacing w:val="0"/>
          <w:sz w:val="28"/>
          <w:lang w:val="en-US" w:eastAsia="zh-CN"/>
        </w:rPr>
        <w:t>及其</w:t>
      </w:r>
      <w:r>
        <w:rPr>
          <w:rFonts w:hint="eastAsia" w:ascii="宋体" w:hAnsi="宋体" w:eastAsia="宋体" w:cs="宋体"/>
          <w:spacing w:val="0"/>
          <w:sz w:val="28"/>
          <w:lang w:eastAsia="zh-CN"/>
        </w:rPr>
        <w:t>整改情况档案、职工违章处罚情况档案、职工劳动防护用品发放管理档案、伤亡事故统计档案、安全生产责任制签订、考核情况档案</w:t>
      </w:r>
      <w:r>
        <w:rPr>
          <w:rFonts w:hint="eastAsia" w:ascii="宋体" w:hAnsi="宋体" w:eastAsia="宋体" w:cs="宋体"/>
          <w:spacing w:val="0"/>
          <w:sz w:val="28"/>
        </w:rPr>
        <w:t>。</w:t>
      </w:r>
    </w:p>
    <w:p>
      <w:pPr>
        <w:pStyle w:val="15"/>
        <w:keepNext w:val="0"/>
        <w:keepLines w:val="0"/>
        <w:pageBreakBefore w:val="0"/>
        <w:widowControl w:val="0"/>
        <w:numPr>
          <w:ilvl w:val="0"/>
          <w:numId w:val="3"/>
        </w:numPr>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rPr>
        <w:t>应加强对作业人员的安全教育、培训，不断提高作业人员的安全意识、素质、安全技能及识别、预防、处理事故的能力。</w:t>
      </w:r>
    </w:p>
    <w:p>
      <w:pPr>
        <w:pStyle w:val="15"/>
        <w:keepNext w:val="0"/>
        <w:keepLines w:val="0"/>
        <w:pageBreakBefore w:val="0"/>
        <w:widowControl w:val="0"/>
        <w:numPr>
          <w:ilvl w:val="0"/>
          <w:numId w:val="3"/>
        </w:numPr>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lang w:eastAsia="zh-CN"/>
        </w:rPr>
        <w:t>金属非金属露天矿山应当配备具有采矿、地质、机电等矿山相关专业中专及以上学历或者中级及以上技术职称的专职技术人员，每个专业至少配备1人。</w:t>
      </w:r>
      <w:r>
        <w:rPr>
          <w:rFonts w:hint="eastAsia" w:ascii="宋体" w:hAnsi="宋体" w:eastAsia="宋体" w:cs="宋体"/>
          <w:spacing w:val="0"/>
          <w:sz w:val="28"/>
          <w:lang w:val="en-US" w:eastAsia="zh-CN"/>
        </w:rPr>
        <w:t>矿山应当按照《中华人民共和国安全生产法》的要求配备注册安全工程师从事安全生产管理工作。</w:t>
      </w:r>
    </w:p>
    <w:p>
      <w:pPr>
        <w:pStyle w:val="15"/>
        <w:keepNext w:val="0"/>
        <w:keepLines w:val="0"/>
        <w:pageBreakBefore w:val="0"/>
        <w:widowControl w:val="0"/>
        <w:numPr>
          <w:ilvl w:val="0"/>
          <w:numId w:val="3"/>
        </w:numPr>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rPr>
        <w:t>矿山应按规定制定安全资金提取和使用计划，保障专款专用。</w:t>
      </w:r>
    </w:p>
    <w:p>
      <w:pPr>
        <w:pStyle w:val="15"/>
        <w:keepNext w:val="0"/>
        <w:keepLines w:val="0"/>
        <w:pageBreakBefore w:val="0"/>
        <w:widowControl w:val="0"/>
        <w:numPr>
          <w:ilvl w:val="0"/>
          <w:numId w:val="3"/>
        </w:numPr>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lang w:val="en-US" w:eastAsia="zh-CN"/>
        </w:rPr>
        <w:t>矿山应</w:t>
      </w:r>
      <w:r>
        <w:rPr>
          <w:rFonts w:hint="eastAsia" w:ascii="宋体" w:hAnsi="宋体" w:eastAsia="宋体" w:cs="宋体"/>
          <w:spacing w:val="0"/>
          <w:sz w:val="28"/>
        </w:rPr>
        <w:t>按照</w:t>
      </w:r>
      <w:r>
        <w:rPr>
          <w:rFonts w:hint="eastAsia" w:ascii="宋体" w:hAnsi="宋体" w:eastAsia="宋体" w:cs="宋体"/>
          <w:spacing w:val="0"/>
          <w:sz w:val="28"/>
          <w:lang w:val="sq-AL"/>
        </w:rPr>
        <w:t>《个体防护装备配备规范 第4部分：非煤矿山》（GB 39800.4-2020）</w:t>
      </w:r>
      <w:r>
        <w:rPr>
          <w:rFonts w:hint="eastAsia" w:ascii="宋体" w:hAnsi="宋体" w:eastAsia="宋体" w:cs="宋体"/>
          <w:spacing w:val="0"/>
          <w:sz w:val="28"/>
        </w:rPr>
        <w:t>的标准为作业人员配备了相应的安全防护用品（如：安全帽、安全带、绝缘鞋、工作服口罩）等，建立防护品更换、报废制度，并保证职工能正确使用。</w:t>
      </w:r>
    </w:p>
    <w:p>
      <w:pPr>
        <w:pStyle w:val="15"/>
        <w:keepNext w:val="0"/>
        <w:keepLines w:val="0"/>
        <w:pageBreakBefore w:val="0"/>
        <w:widowControl w:val="0"/>
        <w:numPr>
          <w:ilvl w:val="0"/>
          <w:numId w:val="3"/>
        </w:numPr>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lang w:val="en-US" w:eastAsia="zh-CN"/>
        </w:rPr>
        <w:t>完善相关危险区域安全警示标志，加强矿山安全标志管理，定期进行检查，并及时修整或更换，安全标志设置应醒目清晰。</w:t>
      </w:r>
    </w:p>
    <w:p>
      <w:pPr>
        <w:pStyle w:val="15"/>
        <w:keepNext w:val="0"/>
        <w:keepLines w:val="0"/>
        <w:pageBreakBefore w:val="0"/>
        <w:widowControl w:val="0"/>
        <w:numPr>
          <w:ilvl w:val="0"/>
          <w:numId w:val="3"/>
        </w:numPr>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rPr>
        <w:t>建立健全边坡管理制度，对采场工作帮应每季度检查一次，高陡边帮应每月检查一次，不稳定区段在暴雨过后应及时检查，发现异常应立即处理，检查有记录。</w:t>
      </w:r>
    </w:p>
    <w:p>
      <w:pPr>
        <w:pStyle w:val="15"/>
        <w:keepNext w:val="0"/>
        <w:keepLines w:val="0"/>
        <w:pageBreakBefore w:val="0"/>
        <w:widowControl w:val="0"/>
        <w:numPr>
          <w:ilvl w:val="0"/>
          <w:numId w:val="3"/>
        </w:numPr>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rPr>
        <w:t>矿山应保存下列图纸，并根据实际情况的变化及时更新：</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rPr>
        <w:t xml:space="preserve">——地形地质图； </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rPr>
        <w:t>——采剥工程年末图；</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rPr>
        <w:t>——采场边坡工程平面及剖面图；</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rPr>
        <w:t>——采场最终境界图；</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rPr>
        <w:t>——供配电系统图；</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rPr>
        <w:t>——防排水系统图。</w:t>
      </w:r>
    </w:p>
    <w:p>
      <w:pPr>
        <w:pStyle w:val="15"/>
        <w:keepNext w:val="0"/>
        <w:keepLines w:val="0"/>
        <w:pageBreakBefore w:val="0"/>
        <w:widowControl w:val="0"/>
        <w:numPr>
          <w:ilvl w:val="0"/>
          <w:numId w:val="3"/>
        </w:numPr>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lang w:val="en-US" w:eastAsia="zh-CN"/>
        </w:rPr>
        <w:t>矿山现有应急预案为2020年编制，企业应按照矿山实际生产情况对预案进行修订完善。</w:t>
      </w:r>
      <w:r>
        <w:rPr>
          <w:rFonts w:hint="eastAsia" w:ascii="宋体" w:hAnsi="宋体" w:eastAsia="宋体" w:cs="宋体"/>
          <w:spacing w:val="0"/>
          <w:sz w:val="28"/>
        </w:rPr>
        <w:t>制定合理有效的应急救援演练计划，每半年组织一次生产安全事故应急预案演练，演练结束后应对应急预案演练效果进行评估，并形成应急预案演练评估报告。</w:t>
      </w:r>
    </w:p>
    <w:p>
      <w:pPr>
        <w:pStyle w:val="15"/>
        <w:keepNext w:val="0"/>
        <w:keepLines w:val="0"/>
        <w:pageBreakBefore w:val="0"/>
        <w:widowControl w:val="0"/>
        <w:numPr>
          <w:ilvl w:val="0"/>
          <w:numId w:val="3"/>
        </w:numPr>
        <w:kinsoku/>
        <w:wordWrap/>
        <w:overflowPunct/>
        <w:topLinePunct w:val="0"/>
        <w:autoSpaceDE/>
        <w:autoSpaceDN/>
        <w:bidi w:val="0"/>
        <w:adjustRightInd/>
        <w:snapToGrid/>
        <w:spacing w:after="0" w:line="500" w:lineRule="exact"/>
        <w:ind w:left="0" w:leftChars="0" w:firstLine="560" w:firstLineChars="200"/>
        <w:textAlignment w:val="auto"/>
        <w:rPr>
          <w:rFonts w:hint="default" w:ascii="Times New Roman" w:eastAsia="宋体"/>
          <w:spacing w:val="0"/>
          <w:sz w:val="28"/>
        </w:rPr>
      </w:pPr>
      <w:r>
        <w:rPr>
          <w:rFonts w:hint="eastAsia" w:ascii="宋体" w:hAnsi="宋体" w:eastAsia="宋体" w:cs="宋体"/>
          <w:spacing w:val="0"/>
          <w:sz w:val="28"/>
          <w:lang w:val="en-US" w:eastAsia="zh-CN"/>
        </w:rPr>
        <w:t>矿山应建立并落实安全风险分级管控和隐患排查治理双重预防工作机制，加强企业危险源点及重大隐患的管理与监控，及时化解生产风险；加强安全检查工作的力度，做好督促工作。</w:t>
      </w:r>
    </w:p>
    <w:p>
      <w:pPr>
        <w:pStyle w:val="5"/>
        <w:bidi w:val="0"/>
        <w:rPr>
          <w:rFonts w:hint="eastAsia"/>
          <w:lang w:eastAsia="zh-CN"/>
        </w:rPr>
      </w:pPr>
      <w:bookmarkStart w:id="633" w:name="_Toc102829781"/>
      <w:bookmarkStart w:id="634" w:name="_Toc28010_WPSOffice_Level2"/>
      <w:bookmarkStart w:id="635" w:name="_Toc16840844"/>
      <w:bookmarkStart w:id="636" w:name="_Toc3507_WPSOffice_Level2"/>
      <w:bookmarkStart w:id="637" w:name="_Toc30062"/>
      <w:r>
        <w:rPr>
          <w:rFonts w:hint="eastAsia"/>
          <w:lang w:eastAsia="zh-CN"/>
        </w:rPr>
        <w:t>5.1.</w:t>
      </w:r>
      <w:r>
        <w:rPr>
          <w:rFonts w:hint="eastAsia"/>
          <w:lang w:val="en-US" w:eastAsia="zh-CN"/>
        </w:rPr>
        <w:t>9</w:t>
      </w:r>
      <w:r>
        <w:rPr>
          <w:rFonts w:hint="eastAsia"/>
          <w:lang w:eastAsia="zh-CN"/>
        </w:rPr>
        <w:t>其他应采取的安全对策措施建议</w:t>
      </w:r>
      <w:bookmarkEnd w:id="633"/>
      <w:bookmarkEnd w:id="634"/>
      <w:bookmarkEnd w:id="635"/>
      <w:bookmarkEnd w:id="636"/>
      <w:bookmarkEnd w:id="637"/>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lang w:val="zh-CN"/>
        </w:rPr>
      </w:pPr>
      <w:r>
        <w:rPr>
          <w:rFonts w:hint="eastAsia" w:ascii="宋体" w:hAnsi="宋体" w:eastAsia="宋体" w:cs="Times New Roman"/>
          <w:b/>
          <w:bCs/>
          <w:color w:val="auto"/>
          <w:sz w:val="28"/>
          <w:szCs w:val="28"/>
          <w:lang w:val="zh-CN"/>
        </w:rPr>
        <w:t>一、技术措施</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lang w:val="zh-CN"/>
        </w:rPr>
      </w:pPr>
      <w:r>
        <w:rPr>
          <w:rFonts w:hint="eastAsia" w:ascii="宋体" w:hAnsi="宋体" w:cs="Times New Roman"/>
          <w:color w:val="auto"/>
          <w:sz w:val="28"/>
          <w:szCs w:val="28"/>
          <w:lang w:val="en-US" w:eastAsia="zh-CN"/>
        </w:rPr>
        <w:t>1</w:t>
      </w:r>
      <w:r>
        <w:rPr>
          <w:rFonts w:hint="eastAsia" w:ascii="宋体" w:hAnsi="宋体" w:eastAsia="宋体" w:cs="Times New Roman"/>
          <w:color w:val="auto"/>
          <w:sz w:val="28"/>
          <w:szCs w:val="28"/>
          <w:lang w:val="zh-CN"/>
        </w:rPr>
        <w:t>.挖掘最后一个采掘带时，应避免超挖，以防台阶坍塌，避免欠挖，防止对运输造成不必要的影响；</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lang w:val="zh-CN"/>
        </w:rPr>
      </w:pPr>
      <w:r>
        <w:rPr>
          <w:rFonts w:hint="eastAsia" w:ascii="宋体" w:hAnsi="宋体" w:cs="Times New Roman"/>
          <w:color w:val="auto"/>
          <w:sz w:val="28"/>
          <w:szCs w:val="28"/>
          <w:lang w:val="en-US" w:eastAsia="zh-CN"/>
        </w:rPr>
        <w:t>2</w:t>
      </w:r>
      <w:r>
        <w:rPr>
          <w:rFonts w:hint="eastAsia" w:ascii="宋体" w:hAnsi="宋体" w:eastAsia="宋体" w:cs="Times New Roman"/>
          <w:color w:val="auto"/>
          <w:sz w:val="28"/>
          <w:szCs w:val="28"/>
          <w:lang w:val="zh-CN"/>
        </w:rPr>
        <w:t>.车辆伤害是施工中较常见的危险、有害因素，企业应引起必要的重视和采取措施加以防范，铲装、运输过程中的物体打击、机械伤害、高处坠落、粉尘及噪声等危害也应采取相应的防范措施：</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lang w:val="zh-CN"/>
        </w:rPr>
      </w:pPr>
      <w:r>
        <w:rPr>
          <w:rFonts w:hint="eastAsia" w:ascii="宋体" w:hAnsi="宋体" w:eastAsia="宋体" w:cs="Times New Roman"/>
          <w:color w:val="auto"/>
          <w:sz w:val="28"/>
          <w:szCs w:val="28"/>
          <w:lang w:val="zh-CN"/>
        </w:rPr>
        <w:t>1）按照设计进行道路施工，经常维护，弯道处会车视距不能满足要求时，应设分车道；</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lang w:val="zh-CN"/>
        </w:rPr>
      </w:pPr>
      <w:r>
        <w:rPr>
          <w:rFonts w:hint="eastAsia" w:ascii="宋体" w:hAnsi="宋体" w:eastAsia="宋体" w:cs="Times New Roman"/>
          <w:color w:val="auto"/>
          <w:sz w:val="28"/>
          <w:szCs w:val="28"/>
          <w:lang w:val="zh-CN"/>
        </w:rPr>
        <w:t>2）具体规定矿区道路上各地段的车速，并设置路标；</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lang w:val="zh-CN"/>
        </w:rPr>
      </w:pPr>
      <w:r>
        <w:rPr>
          <w:rFonts w:hint="eastAsia" w:ascii="宋体" w:hAnsi="宋体" w:eastAsia="宋体" w:cs="Times New Roman"/>
          <w:color w:val="auto"/>
          <w:sz w:val="28"/>
          <w:szCs w:val="28"/>
          <w:lang w:val="zh-CN"/>
        </w:rPr>
        <w:t>3）在高路堤或山坡填方的弯道处，坡度较大的填方地段，道路外侧应设置护栏、挡车土堆等，挡车土堆的高度根据实际情况具体规定；</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lang w:val="zh-CN"/>
        </w:rPr>
      </w:pPr>
      <w:r>
        <w:rPr>
          <w:rFonts w:hint="eastAsia" w:ascii="宋体" w:hAnsi="宋体" w:eastAsia="宋体" w:cs="Times New Roman"/>
          <w:color w:val="auto"/>
          <w:sz w:val="28"/>
          <w:szCs w:val="28"/>
          <w:lang w:val="zh-CN"/>
        </w:rPr>
        <w:t>4）加强司机安全教育，严格执行操作规程，禁止酒后、疲劳驾驶、违章驾驶，雨雪天车辆行驶应采取防滑措施（如采用防滑链等）；</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lang w:val="zh-CN"/>
        </w:rPr>
      </w:pPr>
      <w:r>
        <w:rPr>
          <w:rFonts w:hint="eastAsia" w:ascii="宋体" w:hAnsi="宋体" w:eastAsia="宋体" w:cs="Times New Roman"/>
          <w:color w:val="auto"/>
          <w:sz w:val="28"/>
          <w:szCs w:val="28"/>
          <w:lang w:val="zh-CN"/>
        </w:rPr>
        <w:t>5）铲装作业时铲斗禁止经过矿车驾驶室上方，严格控制满斗率；</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lang w:val="zh-CN"/>
        </w:rPr>
      </w:pPr>
      <w:r>
        <w:rPr>
          <w:rFonts w:hint="eastAsia" w:ascii="宋体" w:hAnsi="宋体" w:eastAsia="宋体" w:cs="Times New Roman"/>
          <w:color w:val="auto"/>
          <w:sz w:val="28"/>
          <w:szCs w:val="28"/>
          <w:lang w:val="zh-CN"/>
        </w:rPr>
        <w:t>6）禁止在边坡下坐卧、停留，采场应避免上、下台阶在同一垂直面作业，避免上部台阶滚石伤人；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lang w:val="zh-CN"/>
        </w:rPr>
      </w:pPr>
      <w:r>
        <w:rPr>
          <w:rFonts w:hint="eastAsia" w:ascii="宋体" w:hAnsi="宋体" w:eastAsia="宋体" w:cs="Times New Roman"/>
          <w:color w:val="auto"/>
          <w:sz w:val="28"/>
          <w:szCs w:val="28"/>
          <w:lang w:val="zh-CN"/>
        </w:rPr>
        <w:t>7）坚持工作前对工作面的安全处理，加强个人防护措施，注意滚石伤人；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lang w:val="zh-CN"/>
        </w:rPr>
      </w:pPr>
      <w:r>
        <w:rPr>
          <w:rFonts w:hint="eastAsia" w:ascii="宋体" w:hAnsi="宋体" w:eastAsia="宋体" w:cs="Times New Roman"/>
          <w:color w:val="auto"/>
          <w:sz w:val="28"/>
          <w:szCs w:val="28"/>
          <w:lang w:val="zh-CN"/>
        </w:rPr>
        <w:t>8）除采取洒水降尘措施外，设置消声、隔音设施，加强个体防护，如佩戴防尘口罩、耳塞；</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b/>
          <w:bCs/>
          <w:color w:val="auto"/>
          <w:sz w:val="28"/>
          <w:szCs w:val="28"/>
          <w:lang w:val="zh-CN"/>
        </w:rPr>
      </w:pPr>
      <w:r>
        <w:rPr>
          <w:rFonts w:hint="eastAsia" w:ascii="宋体" w:hAnsi="宋体" w:eastAsia="宋体" w:cs="Times New Roman"/>
          <w:b/>
          <w:bCs/>
          <w:color w:val="auto"/>
          <w:sz w:val="28"/>
          <w:szCs w:val="28"/>
          <w:lang w:val="zh-CN"/>
        </w:rPr>
        <w:t>二、管理措施</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hint="eastAsia" w:ascii="宋体" w:hAnsi="宋体" w:eastAsia="宋体" w:cs="Times New Roman"/>
          <w:color w:val="auto"/>
          <w:sz w:val="28"/>
          <w:szCs w:val="28"/>
          <w:lang w:val="zh-CN"/>
        </w:rPr>
      </w:pPr>
      <w:r>
        <w:rPr>
          <w:rFonts w:hint="eastAsia" w:ascii="宋体" w:hAnsi="宋体" w:eastAsia="宋体" w:cs="Times New Roman"/>
          <w:color w:val="auto"/>
          <w:sz w:val="28"/>
          <w:szCs w:val="28"/>
          <w:lang w:val="zh-CN"/>
        </w:rPr>
        <w:t>1.企业应实行三级安全管理；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lang w:val="zh-CN"/>
        </w:rPr>
      </w:pPr>
      <w:r>
        <w:rPr>
          <w:rFonts w:hint="eastAsia" w:ascii="宋体" w:hAnsi="宋体" w:eastAsia="宋体" w:cs="Times New Roman"/>
          <w:color w:val="auto"/>
          <w:sz w:val="28"/>
          <w:szCs w:val="28"/>
          <w:lang w:val="zh-CN"/>
        </w:rPr>
        <w:t>2.根据企业所需员工数量，配备相应数量的安全管理人员。建立完善安全管理网络。根据消防条例规定，建立防火安全保障体系；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lang w:val="zh-CN"/>
        </w:rPr>
      </w:pPr>
      <w:r>
        <w:rPr>
          <w:rFonts w:hint="eastAsia" w:ascii="宋体" w:hAnsi="宋体" w:eastAsia="宋体" w:cs="Times New Roman"/>
          <w:color w:val="auto"/>
          <w:sz w:val="28"/>
          <w:szCs w:val="28"/>
          <w:lang w:val="zh-CN"/>
        </w:rPr>
        <w:t>3.对安全生产责任制、安全管理制度、安全操作规程和安全管理台账的执行和落实应贯穿生产全过程；</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lang w:val="zh-CN"/>
        </w:rPr>
      </w:pPr>
      <w:r>
        <w:rPr>
          <w:rFonts w:hint="eastAsia" w:ascii="宋体" w:hAnsi="宋体" w:eastAsia="宋体" w:cs="Times New Roman"/>
          <w:color w:val="auto"/>
          <w:sz w:val="28"/>
          <w:szCs w:val="28"/>
          <w:lang w:val="zh-CN"/>
        </w:rPr>
        <w:t>4.加强企业危险源点及重大隐患的管理与监控，及时化解生产风险；加大安全检查工作的力度，做好督促工作；</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lang w:val="zh-CN"/>
        </w:rPr>
      </w:pPr>
      <w:r>
        <w:rPr>
          <w:rFonts w:hint="eastAsia" w:ascii="宋体" w:hAnsi="宋体" w:eastAsia="宋体" w:cs="Times New Roman"/>
          <w:color w:val="auto"/>
          <w:sz w:val="28"/>
          <w:szCs w:val="28"/>
          <w:lang w:val="zh-CN"/>
        </w:rPr>
        <w:t>5.完善各生产岗位的安全教育培训制度。凡在生产第一线的操作人员，均要进行岗前培训，特殊工种（如焊工、电工等）持证上岗。定期进行安全生产教育，增强安全意识；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lang w:val="zh-CN"/>
        </w:rPr>
      </w:pPr>
      <w:r>
        <w:rPr>
          <w:rFonts w:hint="eastAsia" w:ascii="宋体" w:hAnsi="宋体" w:eastAsia="宋体" w:cs="Times New Roman"/>
          <w:color w:val="auto"/>
          <w:sz w:val="28"/>
          <w:szCs w:val="28"/>
          <w:lang w:val="zh-CN"/>
        </w:rPr>
        <w:t>6.加强安全生产教育，严禁违章作业、违章调度、无证上岗、酒后行车；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lang w:val="zh-CN"/>
        </w:rPr>
      </w:pPr>
      <w:r>
        <w:rPr>
          <w:rFonts w:hint="eastAsia" w:ascii="宋体" w:hAnsi="宋体" w:eastAsia="宋体" w:cs="Times New Roman"/>
          <w:color w:val="auto"/>
          <w:sz w:val="28"/>
          <w:szCs w:val="28"/>
          <w:lang w:val="zh-CN"/>
        </w:rPr>
        <w:t>7.对员工进行操作技术培训和安全教育（安全教育中除包括思想、纪律、安全知识、消防器材使用、个体防护用品使用等内容外，还应包括事故紧急处理、抢救、报告方法的教育），既保证员工安全健康，又保证在紧急事故中能采取正确的处理方法，使事故损失降到最低；</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lang w:val="zh-CN"/>
        </w:rPr>
      </w:pPr>
      <w:r>
        <w:rPr>
          <w:rFonts w:hint="eastAsia" w:ascii="宋体" w:hAnsi="宋体" w:eastAsia="宋体" w:cs="Times New Roman"/>
          <w:color w:val="auto"/>
          <w:sz w:val="28"/>
          <w:szCs w:val="28"/>
          <w:lang w:val="zh-CN"/>
        </w:rPr>
        <w:t>8.企业应提取安全管理费用，用于开展安全宣传教育活动，对从业人员进行安全教育和培训，特殊工种的培训考核和取证，为从业人员配备劳保用品，以及完善安全设施和设备，治理隐患等的费用。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outlineLvl w:val="9"/>
        <w:rPr>
          <w:rFonts w:ascii="宋体" w:hAnsi="宋体"/>
          <w:color w:val="auto"/>
          <w:kern w:val="0"/>
          <w:sz w:val="28"/>
          <w:szCs w:val="28"/>
          <w:lang w:val="zh-CN"/>
        </w:rPr>
      </w:pPr>
      <w:r>
        <w:rPr>
          <w:rFonts w:hint="eastAsia" w:ascii="宋体" w:hAnsi="宋体" w:eastAsia="宋体" w:cs="Times New Roman"/>
          <w:color w:val="auto"/>
          <w:sz w:val="28"/>
          <w:szCs w:val="28"/>
          <w:lang w:val="zh-CN"/>
        </w:rPr>
        <w:t>9.完善企业生产的各种图件和资料，并妥善保管。</w:t>
      </w:r>
    </w:p>
    <w:p>
      <w:pPr>
        <w:pStyle w:val="4"/>
        <w:bidi w:val="0"/>
        <w:rPr>
          <w:lang w:eastAsia="zh-CN"/>
        </w:rPr>
      </w:pPr>
      <w:bookmarkStart w:id="638" w:name="_Toc459896455"/>
      <w:bookmarkStart w:id="639" w:name="_Toc10995_WPSOffice_Level2"/>
      <w:bookmarkStart w:id="640" w:name="_Toc3941_WPSOffice_Level2"/>
      <w:bookmarkStart w:id="641" w:name="_Toc16840838"/>
      <w:bookmarkStart w:id="642" w:name="_Toc1735"/>
      <w:r>
        <w:rPr>
          <w:rFonts w:hint="eastAsia"/>
          <w:lang w:eastAsia="zh-CN"/>
        </w:rPr>
        <w:t>5</w:t>
      </w:r>
      <w:r>
        <w:rPr>
          <w:lang w:eastAsia="zh-CN"/>
        </w:rPr>
        <w:t>.2</w:t>
      </w:r>
      <w:bookmarkEnd w:id="638"/>
      <w:r>
        <w:rPr>
          <w:lang w:eastAsia="zh-CN"/>
        </w:rPr>
        <w:t>整改建议及隐患整改情况</w:t>
      </w:r>
      <w:bookmarkEnd w:id="639"/>
      <w:bookmarkEnd w:id="640"/>
      <w:bookmarkEnd w:id="641"/>
      <w:bookmarkEnd w:id="642"/>
    </w:p>
    <w:p>
      <w:pPr>
        <w:pStyle w:val="5"/>
        <w:bidi w:val="0"/>
        <w:rPr>
          <w:rFonts w:hint="eastAsia"/>
          <w:lang w:eastAsia="zh-CN"/>
        </w:rPr>
      </w:pPr>
      <w:bookmarkStart w:id="643" w:name="_Toc102829783"/>
      <w:bookmarkStart w:id="644" w:name="_Toc3776_WPSOffice_Level3"/>
      <w:bookmarkStart w:id="645" w:name="_Toc6181_WPSOffice_Level3"/>
      <w:bookmarkStart w:id="646" w:name="_Toc16840839"/>
      <w:bookmarkStart w:id="647" w:name="_Toc10084"/>
      <w:r>
        <w:rPr>
          <w:rFonts w:hint="eastAsia"/>
          <w:lang w:eastAsia="zh-CN"/>
        </w:rPr>
        <w:t>5.2.1现场隐患整改建议</w:t>
      </w:r>
      <w:bookmarkEnd w:id="643"/>
      <w:bookmarkEnd w:id="644"/>
      <w:bookmarkEnd w:id="645"/>
      <w:bookmarkEnd w:id="646"/>
      <w:bookmarkEnd w:id="647"/>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rPr>
        <w:t>202</w:t>
      </w:r>
      <w:r>
        <w:rPr>
          <w:rFonts w:hint="eastAsia" w:ascii="宋体" w:hAnsi="宋体" w:eastAsia="宋体" w:cs="宋体"/>
          <w:spacing w:val="0"/>
          <w:sz w:val="28"/>
          <w:lang w:val="en-US" w:eastAsia="zh-CN"/>
        </w:rPr>
        <w:t>4</w:t>
      </w:r>
      <w:r>
        <w:rPr>
          <w:rFonts w:hint="eastAsia" w:ascii="宋体" w:hAnsi="宋体" w:eastAsia="宋体" w:cs="宋体"/>
          <w:spacing w:val="0"/>
          <w:sz w:val="28"/>
        </w:rPr>
        <w:t>年</w:t>
      </w:r>
      <w:r>
        <w:rPr>
          <w:rFonts w:hint="eastAsia" w:ascii="宋体" w:hAnsi="宋体" w:eastAsia="宋体" w:cs="宋体"/>
          <w:spacing w:val="0"/>
          <w:sz w:val="28"/>
          <w:lang w:val="en-US" w:eastAsia="zh-CN"/>
        </w:rPr>
        <w:t>6</w:t>
      </w:r>
      <w:r>
        <w:rPr>
          <w:rFonts w:hint="eastAsia" w:ascii="宋体" w:hAnsi="宋体" w:eastAsia="宋体" w:cs="宋体"/>
          <w:spacing w:val="0"/>
          <w:sz w:val="28"/>
        </w:rPr>
        <w:t>月</w:t>
      </w:r>
      <w:r>
        <w:rPr>
          <w:rFonts w:hint="eastAsia" w:ascii="宋体" w:hAnsi="宋体" w:eastAsia="宋体" w:cs="宋体"/>
          <w:spacing w:val="0"/>
          <w:sz w:val="28"/>
          <w:lang w:val="en-US" w:eastAsia="zh-CN"/>
        </w:rPr>
        <w:t>14</w:t>
      </w:r>
      <w:r>
        <w:rPr>
          <w:rFonts w:hint="eastAsia" w:ascii="宋体" w:hAnsi="宋体" w:eastAsia="宋体" w:cs="宋体"/>
          <w:spacing w:val="0"/>
          <w:sz w:val="28"/>
        </w:rPr>
        <w:t>日，</w:t>
      </w:r>
      <w:r>
        <w:rPr>
          <w:rFonts w:hint="eastAsia" w:ascii="宋体" w:hAnsi="宋体" w:eastAsia="宋体" w:cs="宋体"/>
          <w:spacing w:val="0"/>
          <w:sz w:val="28"/>
          <w:lang w:eastAsia="zh-CN"/>
        </w:rPr>
        <w:t>昭通市鼎安科技有限公司</w:t>
      </w:r>
      <w:r>
        <w:rPr>
          <w:rFonts w:hint="eastAsia" w:ascii="宋体" w:hAnsi="宋体" w:eastAsia="宋体" w:cs="宋体"/>
          <w:spacing w:val="0"/>
          <w:sz w:val="28"/>
        </w:rPr>
        <w:t>技术人员对</w:t>
      </w:r>
      <w:r>
        <w:rPr>
          <w:rFonts w:hint="eastAsia" w:ascii="宋体" w:hAnsi="宋体" w:eastAsia="宋体" w:cs="宋体"/>
          <w:spacing w:val="0"/>
          <w:sz w:val="28"/>
          <w:lang w:eastAsia="zh-CN"/>
        </w:rPr>
        <w:t>牟定共和西山寺砂场</w:t>
      </w:r>
      <w:r>
        <w:rPr>
          <w:rFonts w:hint="eastAsia" w:ascii="宋体" w:hAnsi="宋体" w:eastAsia="宋体" w:cs="宋体"/>
          <w:spacing w:val="0"/>
          <w:sz w:val="28"/>
        </w:rPr>
        <w:t>的矿山生产现状及安全生产管理进行了调查，针对检查过程中发现的一些问题，提出了相应的整改建议和措施：</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rPr>
        <w:t>（1）</w:t>
      </w:r>
      <w:r>
        <w:rPr>
          <w:rFonts w:hint="eastAsia" w:ascii="宋体" w:hAnsi="宋体" w:eastAsia="宋体" w:cs="宋体"/>
          <w:spacing w:val="0"/>
          <w:sz w:val="28"/>
          <w:lang w:val="en-US" w:eastAsia="zh-CN"/>
        </w:rPr>
        <w:t>采场局部边坡较陡，台阶高度超高。</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rPr>
        <w:t>整改建议：</w:t>
      </w:r>
      <w:r>
        <w:rPr>
          <w:rFonts w:hint="eastAsia" w:ascii="宋体" w:hAnsi="宋体" w:eastAsia="宋体" w:cs="宋体"/>
          <w:spacing w:val="0"/>
          <w:sz w:val="28"/>
          <w:lang w:val="en-US" w:eastAsia="zh-CN"/>
        </w:rPr>
        <w:t>建议矿山对边坡较陡、台阶高度超高位置进行缓坡和减低台阶高度</w:t>
      </w:r>
      <w:r>
        <w:rPr>
          <w:rFonts w:hint="eastAsia" w:ascii="宋体" w:hAnsi="宋体" w:eastAsia="宋体" w:cs="宋体"/>
          <w:spacing w:val="0"/>
          <w:sz w:val="28"/>
        </w:rPr>
        <w:t>。</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lang w:val="en-US" w:eastAsia="zh-CN"/>
        </w:rPr>
      </w:pPr>
      <w:r>
        <w:rPr>
          <w:rFonts w:hint="eastAsia" w:ascii="宋体" w:hAnsi="宋体" w:eastAsia="宋体" w:cs="宋体"/>
          <w:spacing w:val="0"/>
          <w:sz w:val="28"/>
        </w:rPr>
        <w:t>（2）</w:t>
      </w:r>
      <w:r>
        <w:rPr>
          <w:rFonts w:hint="eastAsia" w:ascii="宋体" w:hAnsi="宋体" w:eastAsia="宋体" w:cs="宋体"/>
          <w:spacing w:val="0"/>
          <w:sz w:val="28"/>
          <w:lang w:val="en-US" w:eastAsia="zh-CN"/>
        </w:rPr>
        <w:t>截水沟未疏通，有淤堵情况，且清扫平台内侧未修建平台排水沟。</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lang w:val="en-US" w:eastAsia="zh-CN"/>
        </w:rPr>
      </w:pPr>
      <w:r>
        <w:rPr>
          <w:rFonts w:hint="eastAsia" w:ascii="宋体" w:hAnsi="宋体" w:eastAsia="宋体" w:cs="宋体"/>
          <w:spacing w:val="0"/>
          <w:sz w:val="28"/>
          <w:lang w:val="en-US" w:eastAsia="zh-CN"/>
        </w:rPr>
        <w:t>整改建议：已对截水沟进行疏通完善，同时在后续生产过程中逐步完善矿山防排水系统。</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lang w:val="en-US" w:eastAsia="zh-CN"/>
        </w:rPr>
      </w:pPr>
      <w:r>
        <w:rPr>
          <w:rFonts w:hint="eastAsia" w:ascii="宋体" w:hAnsi="宋体" w:eastAsia="宋体" w:cs="宋体"/>
          <w:spacing w:val="0"/>
          <w:sz w:val="28"/>
          <w:lang w:val="en-US" w:eastAsia="zh-CN"/>
        </w:rPr>
        <w:t>（3）矿山主要铲装运输车辆未按照要求配备消防灭火器。</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lang w:val="en-US" w:eastAsia="zh-CN"/>
        </w:rPr>
      </w:pPr>
      <w:r>
        <w:rPr>
          <w:rFonts w:hint="eastAsia" w:ascii="宋体" w:hAnsi="宋体" w:eastAsia="宋体" w:cs="宋体"/>
          <w:spacing w:val="0"/>
          <w:sz w:val="28"/>
          <w:lang w:val="en-US" w:eastAsia="zh-CN"/>
        </w:rPr>
        <w:t>整改建议：已按相关要求对运输车辆、装载机等铲装设备配备灭火器。</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lang w:val="en-US" w:eastAsia="zh-CN"/>
        </w:rPr>
      </w:pPr>
      <w:r>
        <w:rPr>
          <w:rFonts w:hint="eastAsia" w:ascii="宋体" w:hAnsi="宋体" w:eastAsia="宋体" w:cs="宋体"/>
          <w:spacing w:val="0"/>
          <w:sz w:val="28"/>
          <w:lang w:val="en-US" w:eastAsia="zh-CN"/>
        </w:rPr>
        <w:t>（4）采场入口、边坡、运输道路等位置安全警示标志不足。建议对采场、边坡、运输道路等位置安全警示标志进一步完善。</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lang w:val="en-US" w:eastAsia="zh-CN"/>
        </w:rPr>
        <w:t>整改建议：建议对采场入口、边坡、运输道路等位置安全警示标志进一步完善</w:t>
      </w:r>
      <w:r>
        <w:rPr>
          <w:rFonts w:hint="eastAsia" w:ascii="宋体" w:hAnsi="宋体" w:eastAsia="宋体" w:cs="宋体"/>
          <w:spacing w:val="0"/>
          <w:sz w:val="28"/>
        </w:rPr>
        <w:t>。</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rPr>
        <w:t>（</w:t>
      </w:r>
      <w:r>
        <w:rPr>
          <w:rFonts w:hint="eastAsia" w:ascii="宋体" w:hAnsi="宋体" w:eastAsia="宋体" w:cs="宋体"/>
          <w:spacing w:val="0"/>
          <w:sz w:val="28"/>
          <w:lang w:val="en-US" w:eastAsia="zh-CN"/>
        </w:rPr>
        <w:t>5</w:t>
      </w:r>
      <w:r>
        <w:rPr>
          <w:rFonts w:hint="eastAsia" w:ascii="宋体" w:hAnsi="宋体" w:eastAsia="宋体" w:cs="宋体"/>
          <w:spacing w:val="0"/>
          <w:sz w:val="28"/>
        </w:rPr>
        <w:t>）安全生产管理台账记录填写不全。</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rPr>
      </w:pPr>
      <w:r>
        <w:rPr>
          <w:rFonts w:hint="eastAsia" w:ascii="宋体" w:hAnsi="宋体" w:eastAsia="宋体" w:cs="宋体"/>
          <w:spacing w:val="0"/>
          <w:sz w:val="28"/>
        </w:rPr>
        <w:t>整改建议：建议完善安全生产管理台账记录。</w:t>
      </w:r>
    </w:p>
    <w:p>
      <w:pPr>
        <w:pStyle w:val="5"/>
        <w:bidi w:val="0"/>
        <w:rPr>
          <w:rFonts w:hint="eastAsia"/>
          <w:lang w:eastAsia="zh-CN"/>
        </w:rPr>
      </w:pPr>
      <w:bookmarkStart w:id="648" w:name="_Toc27202"/>
      <w:r>
        <w:rPr>
          <w:rFonts w:hint="eastAsia"/>
          <w:lang w:val="en-US" w:eastAsia="zh-CN"/>
        </w:rPr>
        <w:t>5</w:t>
      </w:r>
      <w:r>
        <w:rPr>
          <w:rFonts w:hint="eastAsia"/>
          <w:lang w:eastAsia="zh-CN"/>
        </w:rPr>
        <w:t>.</w:t>
      </w:r>
      <w:r>
        <w:rPr>
          <w:rFonts w:hint="eastAsia"/>
          <w:lang w:val="en-US" w:eastAsia="zh-CN"/>
        </w:rPr>
        <w:t>2</w:t>
      </w:r>
      <w:r>
        <w:rPr>
          <w:rFonts w:hint="eastAsia"/>
          <w:lang w:eastAsia="zh-CN"/>
        </w:rPr>
        <w:t>.2整改完成情况</w:t>
      </w:r>
      <w:bookmarkEnd w:id="648"/>
    </w:p>
    <w:p>
      <w:pPr>
        <w:pStyle w:val="15"/>
        <w:spacing w:line="500" w:lineRule="exact"/>
        <w:ind w:left="0" w:leftChars="0" w:firstLine="560" w:firstLineChars="200"/>
        <w:rPr>
          <w:rFonts w:hint="eastAsia" w:ascii="宋体" w:hAnsi="宋体" w:eastAsia="宋体" w:cs="宋体"/>
          <w:spacing w:val="0"/>
          <w:sz w:val="28"/>
        </w:rPr>
      </w:pPr>
      <w:r>
        <w:rPr>
          <w:rFonts w:hint="eastAsia" w:ascii="宋体" w:hAnsi="宋体" w:eastAsia="宋体" w:cs="宋体"/>
          <w:spacing w:val="0"/>
          <w:sz w:val="28"/>
          <w:lang w:eastAsia="zh-CN"/>
        </w:rPr>
        <w:t>牟定共和西山寺砂场</w:t>
      </w:r>
      <w:r>
        <w:rPr>
          <w:rFonts w:hint="eastAsia" w:ascii="宋体" w:hAnsi="宋体" w:eastAsia="宋体" w:cs="宋体"/>
          <w:spacing w:val="0"/>
          <w:sz w:val="28"/>
        </w:rPr>
        <w:t>针对</w:t>
      </w:r>
      <w:r>
        <w:rPr>
          <w:rFonts w:hint="eastAsia" w:ascii="宋体" w:hAnsi="宋体" w:eastAsia="宋体" w:cs="宋体"/>
          <w:spacing w:val="0"/>
          <w:sz w:val="28"/>
          <w:lang w:eastAsia="zh-CN"/>
        </w:rPr>
        <w:t>昭通市鼎安科技有限公司</w:t>
      </w:r>
      <w:r>
        <w:rPr>
          <w:rFonts w:hint="eastAsia" w:ascii="宋体" w:hAnsi="宋体" w:eastAsia="宋体" w:cs="宋体"/>
          <w:spacing w:val="0"/>
          <w:sz w:val="28"/>
        </w:rPr>
        <w:t>检查过程中发现的问题进行了整改，于202</w:t>
      </w:r>
      <w:r>
        <w:rPr>
          <w:rFonts w:hint="eastAsia" w:ascii="宋体" w:hAnsi="宋体" w:eastAsia="宋体" w:cs="宋体"/>
          <w:spacing w:val="0"/>
          <w:sz w:val="28"/>
          <w:lang w:val="en-US" w:eastAsia="zh-CN"/>
        </w:rPr>
        <w:t>4</w:t>
      </w:r>
      <w:r>
        <w:rPr>
          <w:rFonts w:hint="eastAsia" w:ascii="宋体" w:hAnsi="宋体" w:eastAsia="宋体" w:cs="宋体"/>
          <w:spacing w:val="0"/>
          <w:sz w:val="28"/>
        </w:rPr>
        <w:t>年</w:t>
      </w:r>
      <w:r>
        <w:rPr>
          <w:rFonts w:hint="eastAsia" w:ascii="宋体" w:hAnsi="宋体" w:eastAsia="宋体" w:cs="宋体"/>
          <w:spacing w:val="0"/>
          <w:sz w:val="28"/>
          <w:lang w:val="en-US" w:eastAsia="zh-CN"/>
        </w:rPr>
        <w:t>7</w:t>
      </w:r>
      <w:r>
        <w:rPr>
          <w:rFonts w:hint="eastAsia" w:ascii="宋体" w:hAnsi="宋体" w:eastAsia="宋体" w:cs="宋体"/>
          <w:spacing w:val="0"/>
          <w:sz w:val="28"/>
        </w:rPr>
        <w:t>月</w:t>
      </w:r>
      <w:r>
        <w:rPr>
          <w:rFonts w:hint="eastAsia" w:ascii="宋体" w:hAnsi="宋体" w:eastAsia="宋体" w:cs="宋体"/>
          <w:spacing w:val="0"/>
          <w:sz w:val="28"/>
          <w:lang w:val="en-US" w:eastAsia="zh-CN"/>
        </w:rPr>
        <w:t>10</w:t>
      </w:r>
      <w:r>
        <w:rPr>
          <w:rFonts w:hint="eastAsia" w:ascii="宋体" w:hAnsi="宋体" w:eastAsia="宋体" w:cs="宋体"/>
          <w:spacing w:val="0"/>
          <w:sz w:val="28"/>
        </w:rPr>
        <w:t>日整改完成，并将整改情况进行了反馈，详见</w:t>
      </w:r>
      <w:r>
        <w:rPr>
          <w:rFonts w:hint="eastAsia" w:ascii="宋体" w:hAnsi="宋体" w:eastAsia="宋体" w:cs="宋体"/>
          <w:spacing w:val="0"/>
          <w:sz w:val="28"/>
          <w:lang w:val="en-US" w:eastAsia="zh-CN"/>
        </w:rPr>
        <w:t>整改</w:t>
      </w:r>
      <w:r>
        <w:rPr>
          <w:rFonts w:hint="eastAsia" w:ascii="宋体" w:hAnsi="宋体" w:eastAsia="宋体" w:cs="宋体"/>
          <w:spacing w:val="0"/>
          <w:sz w:val="28"/>
        </w:rPr>
        <w:t>报告</w:t>
      </w:r>
      <w:r>
        <w:rPr>
          <w:rFonts w:hint="eastAsia" w:ascii="宋体" w:hAnsi="宋体" w:eastAsia="宋体" w:cs="宋体"/>
          <w:spacing w:val="0"/>
          <w:sz w:val="28"/>
          <w:lang w:val="en-US" w:eastAsia="zh-CN"/>
        </w:rPr>
        <w:t>-</w:t>
      </w:r>
      <w:r>
        <w:rPr>
          <w:rFonts w:hint="eastAsia" w:ascii="宋体" w:hAnsi="宋体" w:eastAsia="宋体" w:cs="宋体"/>
          <w:spacing w:val="0"/>
          <w:sz w:val="28"/>
        </w:rPr>
        <w:t>附件</w:t>
      </w:r>
      <w:r>
        <w:rPr>
          <w:rFonts w:hint="eastAsia" w:ascii="宋体" w:hAnsi="宋体" w:eastAsia="宋体" w:cs="宋体"/>
          <w:spacing w:val="0"/>
          <w:sz w:val="28"/>
          <w:lang w:val="en-US" w:eastAsia="zh-CN"/>
        </w:rPr>
        <w:t>19</w:t>
      </w:r>
      <w:r>
        <w:rPr>
          <w:rFonts w:hint="eastAsia" w:ascii="宋体" w:hAnsi="宋体" w:eastAsia="宋体" w:cs="宋体"/>
          <w:spacing w:val="0"/>
          <w:sz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Times New Roman"/>
          <w:color w:val="auto"/>
          <w:sz w:val="28"/>
          <w:szCs w:val="28"/>
          <w:highlight w:val="none"/>
          <w:lang w:val="zh-CN"/>
        </w:rPr>
      </w:pPr>
    </w:p>
    <w:p>
      <w:pPr>
        <w:pStyle w:val="3"/>
        <w:bidi w:val="0"/>
        <w:rPr>
          <w:rFonts w:hint="eastAsia"/>
          <w:lang w:eastAsia="zh-CN"/>
        </w:rPr>
      </w:pPr>
      <w:bookmarkStart w:id="649" w:name="_Toc502865241"/>
      <w:bookmarkStart w:id="650" w:name="_Toc2935"/>
      <w:r>
        <w:rPr>
          <w:rFonts w:hint="eastAsia"/>
          <w:lang w:eastAsia="zh-CN"/>
        </w:rPr>
        <w:t>第6章</w:t>
      </w:r>
      <w:r>
        <w:rPr>
          <w:rFonts w:hint="eastAsia"/>
          <w:lang w:val="en-US" w:eastAsia="zh-CN"/>
        </w:rPr>
        <w:t xml:space="preserve">  </w:t>
      </w:r>
      <w:r>
        <w:rPr>
          <w:rFonts w:hint="eastAsia"/>
          <w:lang w:eastAsia="zh-CN"/>
        </w:rPr>
        <w:t>安全现状</w:t>
      </w:r>
      <w:r>
        <w:rPr>
          <w:lang w:eastAsia="zh-CN"/>
        </w:rPr>
        <w:t>评价结论</w:t>
      </w:r>
      <w:bookmarkEnd w:id="649"/>
      <w:bookmarkEnd w:id="650"/>
    </w:p>
    <w:p>
      <w:pPr>
        <w:pStyle w:val="4"/>
        <w:bidi w:val="0"/>
        <w:rPr>
          <w:lang w:eastAsia="zh-CN"/>
        </w:rPr>
      </w:pPr>
      <w:bookmarkStart w:id="651" w:name="_Toc10848"/>
      <w:bookmarkStart w:id="652" w:name="_Toc8858"/>
      <w:r>
        <w:rPr>
          <w:rFonts w:hint="eastAsia"/>
          <w:lang w:eastAsia="zh-CN"/>
        </w:rPr>
        <w:t>6.1项目存在的主要危险有害因素</w:t>
      </w:r>
      <w:bookmarkEnd w:id="651"/>
      <w:bookmarkEnd w:id="652"/>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cs="Times New Roman"/>
          <w:color w:val="auto"/>
          <w:sz w:val="28"/>
          <w:szCs w:val="28"/>
          <w:lang w:val="zh-CN" w:eastAsia="zh-CN"/>
        </w:rPr>
      </w:pPr>
      <w:r>
        <w:rPr>
          <w:rFonts w:hint="eastAsia" w:ascii="宋体" w:hAnsi="宋体" w:cs="Times New Roman"/>
          <w:color w:val="auto"/>
          <w:sz w:val="28"/>
          <w:szCs w:val="28"/>
          <w:lang w:val="zh-CN" w:eastAsia="zh-CN"/>
        </w:rPr>
        <w:t>牟定共和西山寺砂场存在的主要危险、有害因素：</w:t>
      </w:r>
      <w:r>
        <w:rPr>
          <w:rFonts w:hint="eastAsia" w:ascii="宋体" w:hAnsi="宋体" w:cs="Times New Roman"/>
          <w:color w:val="auto"/>
          <w:sz w:val="28"/>
          <w:szCs w:val="28"/>
          <w:lang w:val="zh-TW" w:eastAsia="zh-CN"/>
        </w:rPr>
        <w:t>坍塌、滑坡、车辆伤害、机械伤害、高处坠落、</w:t>
      </w:r>
      <w:r>
        <w:rPr>
          <w:rFonts w:hint="eastAsia" w:ascii="宋体" w:hAnsi="宋体" w:cs="Times New Roman"/>
          <w:color w:val="auto"/>
          <w:sz w:val="28"/>
          <w:szCs w:val="28"/>
          <w:lang w:val="en-US" w:eastAsia="zh-CN"/>
        </w:rPr>
        <w:t>淹溺、</w:t>
      </w:r>
      <w:r>
        <w:rPr>
          <w:rFonts w:hint="eastAsia" w:ascii="宋体" w:hAnsi="宋体" w:cs="Times New Roman"/>
          <w:color w:val="auto"/>
          <w:sz w:val="28"/>
          <w:szCs w:val="28"/>
          <w:lang w:val="zh-TW" w:eastAsia="zh-CN"/>
        </w:rPr>
        <w:t>物体打击、火灾、触电、粉尘、</w:t>
      </w:r>
      <w:r>
        <w:rPr>
          <w:rFonts w:hint="eastAsia" w:ascii="宋体" w:hAnsi="宋体" w:cs="Times New Roman"/>
          <w:color w:val="auto"/>
          <w:sz w:val="28"/>
          <w:szCs w:val="28"/>
          <w:lang w:val="en-US" w:eastAsia="zh-CN"/>
        </w:rPr>
        <w:t>噪声</w:t>
      </w:r>
      <w:r>
        <w:rPr>
          <w:rFonts w:hint="eastAsia" w:ascii="宋体" w:hAnsi="宋体" w:cs="Times New Roman"/>
          <w:color w:val="auto"/>
          <w:sz w:val="28"/>
          <w:szCs w:val="28"/>
          <w:lang w:val="zh-CN" w:eastAsia="zh-CN"/>
        </w:rPr>
        <w:t>等。主要危险有害因素见表6-1。</w:t>
      </w:r>
    </w:p>
    <w:p>
      <w:pPr>
        <w:wordWrap/>
        <w:topLinePunct w:val="0"/>
        <w:bidi w:val="0"/>
        <w:spacing w:line="500" w:lineRule="exact"/>
        <w:ind w:firstLine="198"/>
        <w:jc w:val="center"/>
        <w:textAlignment w:val="auto"/>
        <w:outlineLvl w:val="9"/>
        <w:rPr>
          <w:rFonts w:ascii="宋体" w:hAnsi="宋体"/>
          <w:b/>
          <w:color w:val="auto"/>
          <w:sz w:val="24"/>
        </w:rPr>
      </w:pPr>
      <w:r>
        <w:rPr>
          <w:rFonts w:hint="eastAsia" w:ascii="宋体" w:hAnsi="宋体"/>
          <w:b/>
          <w:color w:val="auto"/>
          <w:sz w:val="24"/>
        </w:rPr>
        <w:t>主要危险有害因素汇总</w:t>
      </w:r>
      <w:r>
        <w:rPr>
          <w:rFonts w:ascii="宋体" w:hAnsi="宋体"/>
          <w:b/>
          <w:color w:val="auto"/>
          <w:sz w:val="24"/>
        </w:rPr>
        <w:t>表</w:t>
      </w:r>
      <w:r>
        <w:rPr>
          <w:rFonts w:hint="eastAsia" w:ascii="宋体" w:hAnsi="宋体"/>
          <w:b/>
          <w:color w:val="auto"/>
          <w:sz w:val="24"/>
        </w:rPr>
        <w:t>6</w:t>
      </w:r>
      <w:r>
        <w:rPr>
          <w:rFonts w:ascii="宋体" w:hAnsi="宋体"/>
          <w:b/>
          <w:color w:val="auto"/>
          <w:sz w:val="24"/>
        </w:rPr>
        <w:t>-1</w:t>
      </w:r>
    </w:p>
    <w:tbl>
      <w:tblPr>
        <w:tblStyle w:val="35"/>
        <w:tblW w:w="0" w:type="auto"/>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1"/>
        <w:gridCol w:w="701"/>
        <w:gridCol w:w="2552"/>
        <w:gridCol w:w="2851"/>
        <w:gridCol w:w="203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91" w:type="dxa"/>
            <w:tcBorders>
              <w:left w:val="single" w:color="auto" w:sz="4" w:space="0"/>
            </w:tcBorders>
            <w:noWrap w:val="0"/>
            <w:vAlign w:val="center"/>
          </w:tcPr>
          <w:p>
            <w:pPr>
              <w:adjustRightInd w:val="0"/>
              <w:snapToGrid w:val="0"/>
              <w:spacing w:line="300" w:lineRule="exact"/>
              <w:rPr>
                <w:rFonts w:hint="eastAsia" w:ascii="宋体" w:hAnsi="宋体" w:eastAsia="宋体" w:cs="宋体"/>
                <w:b/>
                <w:bCs w:val="0"/>
                <w:sz w:val="21"/>
                <w:szCs w:val="21"/>
              </w:rPr>
            </w:pPr>
            <w:r>
              <w:rPr>
                <w:rFonts w:hint="eastAsia" w:ascii="宋体" w:hAnsi="宋体" w:eastAsia="宋体" w:cs="宋体"/>
                <w:b/>
                <w:bCs w:val="0"/>
                <w:sz w:val="21"/>
                <w:szCs w:val="21"/>
              </w:rPr>
              <w:t>项目</w:t>
            </w:r>
          </w:p>
        </w:tc>
        <w:tc>
          <w:tcPr>
            <w:tcW w:w="701" w:type="dxa"/>
            <w:noWrap w:val="0"/>
            <w:vAlign w:val="center"/>
          </w:tcPr>
          <w:p>
            <w:pPr>
              <w:adjustRightInd w:val="0"/>
              <w:snapToGrid w:val="0"/>
              <w:spacing w:line="300" w:lineRule="exact"/>
              <w:rPr>
                <w:rFonts w:hint="eastAsia" w:ascii="宋体" w:hAnsi="宋体" w:eastAsia="宋体" w:cs="宋体"/>
                <w:b/>
                <w:bCs w:val="0"/>
                <w:sz w:val="21"/>
                <w:szCs w:val="21"/>
              </w:rPr>
            </w:pPr>
            <w:r>
              <w:rPr>
                <w:rFonts w:hint="eastAsia" w:ascii="宋体" w:hAnsi="宋体" w:eastAsia="宋体" w:cs="宋体"/>
                <w:b/>
                <w:bCs w:val="0"/>
                <w:sz w:val="21"/>
                <w:szCs w:val="21"/>
              </w:rPr>
              <w:t>序号</w:t>
            </w:r>
          </w:p>
        </w:tc>
        <w:tc>
          <w:tcPr>
            <w:tcW w:w="2552" w:type="dxa"/>
            <w:noWrap w:val="0"/>
            <w:vAlign w:val="center"/>
          </w:tcPr>
          <w:p>
            <w:pPr>
              <w:adjustRightInd w:val="0"/>
              <w:snapToGrid w:val="0"/>
              <w:spacing w:line="300" w:lineRule="exact"/>
              <w:jc w:val="center"/>
              <w:rPr>
                <w:rFonts w:hint="eastAsia" w:ascii="宋体" w:hAnsi="宋体" w:eastAsia="宋体" w:cs="宋体"/>
                <w:b/>
                <w:bCs w:val="0"/>
                <w:sz w:val="21"/>
                <w:szCs w:val="21"/>
              </w:rPr>
            </w:pPr>
            <w:r>
              <w:rPr>
                <w:rFonts w:hint="eastAsia" w:ascii="宋体" w:hAnsi="宋体" w:eastAsia="宋体" w:cs="宋体"/>
                <w:b/>
                <w:bCs w:val="0"/>
                <w:sz w:val="21"/>
                <w:szCs w:val="21"/>
              </w:rPr>
              <w:t>危险因素分类</w:t>
            </w:r>
          </w:p>
        </w:tc>
        <w:tc>
          <w:tcPr>
            <w:tcW w:w="2851" w:type="dxa"/>
            <w:tcBorders>
              <w:right w:val="single" w:color="auto" w:sz="4" w:space="0"/>
            </w:tcBorders>
            <w:noWrap w:val="0"/>
            <w:vAlign w:val="center"/>
          </w:tcPr>
          <w:p>
            <w:pPr>
              <w:adjustRightInd w:val="0"/>
              <w:snapToGrid w:val="0"/>
              <w:spacing w:line="300" w:lineRule="exact"/>
              <w:jc w:val="center"/>
              <w:rPr>
                <w:rFonts w:hint="eastAsia" w:ascii="宋体" w:hAnsi="宋体" w:eastAsia="宋体" w:cs="宋体"/>
                <w:b/>
                <w:bCs w:val="0"/>
                <w:sz w:val="21"/>
                <w:szCs w:val="21"/>
              </w:rPr>
            </w:pPr>
            <w:r>
              <w:rPr>
                <w:rFonts w:hint="eastAsia" w:ascii="宋体" w:hAnsi="宋体" w:eastAsia="宋体" w:cs="宋体"/>
                <w:b/>
                <w:bCs w:val="0"/>
                <w:sz w:val="21"/>
                <w:szCs w:val="21"/>
              </w:rPr>
              <w:t>可能存在部位</w:t>
            </w:r>
          </w:p>
        </w:tc>
        <w:tc>
          <w:tcPr>
            <w:tcW w:w="2033" w:type="dxa"/>
            <w:tcBorders>
              <w:right w:val="single" w:color="auto" w:sz="4" w:space="0"/>
            </w:tcBorders>
            <w:noWrap w:val="0"/>
            <w:vAlign w:val="center"/>
          </w:tcPr>
          <w:p>
            <w:pPr>
              <w:adjustRightInd w:val="0"/>
              <w:snapToGrid w:val="0"/>
              <w:spacing w:line="300" w:lineRule="exact"/>
              <w:jc w:val="center"/>
              <w:rPr>
                <w:rFonts w:hint="eastAsia" w:ascii="宋体" w:hAnsi="宋体" w:eastAsia="宋体" w:cs="宋体"/>
                <w:b/>
                <w:bCs w:val="0"/>
                <w:sz w:val="21"/>
                <w:szCs w:val="21"/>
              </w:rPr>
            </w:pPr>
            <w:r>
              <w:rPr>
                <w:rFonts w:hint="eastAsia" w:ascii="宋体" w:hAnsi="宋体" w:eastAsia="宋体" w:cs="宋体"/>
                <w:b/>
                <w:bCs w:val="0"/>
                <w:sz w:val="21"/>
                <w:szCs w:val="21"/>
              </w:rPr>
              <w:t>可能造成的后果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691" w:type="dxa"/>
            <w:vMerge w:val="restart"/>
            <w:tcBorders>
              <w:lef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r>
              <w:rPr>
                <w:rFonts w:hint="eastAsia" w:ascii="宋体" w:hAnsi="宋体" w:eastAsia="宋体" w:cs="宋体"/>
                <w:bCs/>
                <w:sz w:val="21"/>
                <w:szCs w:val="21"/>
              </w:rPr>
              <w:t>危险因素</w:t>
            </w:r>
          </w:p>
        </w:tc>
        <w:tc>
          <w:tcPr>
            <w:tcW w:w="701" w:type="dxa"/>
            <w:noWrap w:val="0"/>
            <w:vAlign w:val="center"/>
          </w:tcPr>
          <w:p>
            <w:pPr>
              <w:adjustRightInd w:val="0"/>
              <w:snapToGrid w:val="0"/>
              <w:spacing w:line="300" w:lineRule="exact"/>
              <w:jc w:val="center"/>
              <w:rPr>
                <w:rFonts w:hint="eastAsia" w:ascii="宋体" w:hAnsi="宋体" w:eastAsia="宋体" w:cs="宋体"/>
                <w:bCs/>
                <w:sz w:val="21"/>
                <w:szCs w:val="21"/>
              </w:rPr>
            </w:pPr>
            <w:r>
              <w:rPr>
                <w:rFonts w:hint="eastAsia" w:ascii="宋体" w:hAnsi="宋体" w:eastAsia="宋体" w:cs="宋体"/>
                <w:bCs/>
                <w:sz w:val="21"/>
                <w:szCs w:val="21"/>
              </w:rPr>
              <w:t>1</w:t>
            </w:r>
          </w:p>
        </w:tc>
        <w:tc>
          <w:tcPr>
            <w:tcW w:w="2552" w:type="dxa"/>
            <w:noWrap w:val="0"/>
            <w:vAlign w:val="center"/>
          </w:tcPr>
          <w:p>
            <w:pPr>
              <w:adjustRightInd w:val="0"/>
              <w:snapToGrid w:val="0"/>
              <w:spacing w:line="300" w:lineRule="exact"/>
              <w:rPr>
                <w:rFonts w:hint="eastAsia" w:ascii="宋体" w:hAnsi="宋体" w:eastAsia="宋体" w:cs="宋体"/>
                <w:bCs/>
                <w:sz w:val="21"/>
                <w:szCs w:val="21"/>
              </w:rPr>
            </w:pPr>
            <w:r>
              <w:rPr>
                <w:rFonts w:hint="eastAsia" w:ascii="宋体" w:hAnsi="宋体" w:eastAsia="宋体" w:cs="宋体"/>
                <w:bCs/>
                <w:sz w:val="21"/>
                <w:szCs w:val="21"/>
              </w:rPr>
              <w:t>边坡失稳、</w:t>
            </w:r>
            <w:r>
              <w:rPr>
                <w:rFonts w:hint="eastAsia" w:ascii="宋体" w:hAnsi="宋体" w:eastAsia="宋体" w:cs="宋体"/>
                <w:bCs/>
                <w:sz w:val="21"/>
                <w:szCs w:val="21"/>
                <w:lang w:val="en-US" w:eastAsia="zh-CN"/>
              </w:rPr>
              <w:t>坍塌、</w:t>
            </w:r>
            <w:r>
              <w:rPr>
                <w:rFonts w:hint="eastAsia" w:ascii="宋体" w:hAnsi="宋体" w:eastAsia="宋体" w:cs="宋体"/>
                <w:bCs/>
                <w:sz w:val="21"/>
                <w:szCs w:val="21"/>
              </w:rPr>
              <w:t>滑坡</w:t>
            </w:r>
          </w:p>
        </w:tc>
        <w:tc>
          <w:tcPr>
            <w:tcW w:w="2851" w:type="dxa"/>
            <w:tcBorders>
              <w:righ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r>
              <w:rPr>
                <w:rFonts w:hint="eastAsia" w:ascii="宋体" w:hAnsi="宋体" w:eastAsia="宋体" w:cs="宋体"/>
                <w:bCs/>
                <w:sz w:val="21"/>
                <w:szCs w:val="21"/>
              </w:rPr>
              <w:t>采场边坡</w:t>
            </w:r>
          </w:p>
        </w:tc>
        <w:tc>
          <w:tcPr>
            <w:tcW w:w="2033" w:type="dxa"/>
            <w:tcBorders>
              <w:righ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r>
              <w:rPr>
                <w:rFonts w:hint="eastAsia" w:ascii="宋体" w:hAnsi="宋体" w:eastAsia="宋体" w:cs="宋体"/>
                <w:bCs/>
                <w:sz w:val="21"/>
                <w:szCs w:val="21"/>
              </w:rPr>
              <w:t>人员伤亡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691" w:type="dxa"/>
            <w:vMerge w:val="continue"/>
            <w:tcBorders>
              <w:lef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c>
          <w:tcPr>
            <w:tcW w:w="701" w:type="dxa"/>
            <w:noWrap w:val="0"/>
            <w:vAlign w:val="center"/>
          </w:tcPr>
          <w:p>
            <w:pPr>
              <w:adjustRightInd w:val="0"/>
              <w:snapToGrid w:val="0"/>
              <w:spacing w:line="300" w:lineRule="exact"/>
              <w:jc w:val="center"/>
              <w:rPr>
                <w:rFonts w:hint="eastAsia" w:ascii="宋体" w:hAnsi="宋体" w:eastAsia="宋体" w:cs="宋体"/>
                <w:bCs/>
                <w:sz w:val="21"/>
                <w:szCs w:val="21"/>
              </w:rPr>
            </w:pPr>
            <w:r>
              <w:rPr>
                <w:rFonts w:hint="eastAsia" w:ascii="宋体" w:hAnsi="宋体" w:eastAsia="宋体" w:cs="宋体"/>
                <w:bCs/>
                <w:sz w:val="21"/>
                <w:szCs w:val="21"/>
              </w:rPr>
              <w:t>2</w:t>
            </w:r>
          </w:p>
        </w:tc>
        <w:tc>
          <w:tcPr>
            <w:tcW w:w="2552" w:type="dxa"/>
            <w:noWrap w:val="0"/>
            <w:vAlign w:val="center"/>
          </w:tcPr>
          <w:p>
            <w:pPr>
              <w:adjustRightInd w:val="0"/>
              <w:snapToGrid w:val="0"/>
              <w:spacing w:line="300" w:lineRule="exact"/>
              <w:rPr>
                <w:rFonts w:hint="eastAsia" w:ascii="宋体" w:hAnsi="宋体" w:eastAsia="宋体" w:cs="宋体"/>
                <w:bCs/>
                <w:kern w:val="2"/>
                <w:sz w:val="21"/>
                <w:szCs w:val="21"/>
                <w:lang w:val="en-US" w:eastAsia="zh-CN" w:bidi="ar-SA"/>
              </w:rPr>
            </w:pPr>
            <w:r>
              <w:rPr>
                <w:rFonts w:hint="eastAsia" w:ascii="宋体" w:hAnsi="宋体" w:eastAsia="宋体" w:cs="宋体"/>
                <w:bCs/>
                <w:sz w:val="21"/>
                <w:szCs w:val="21"/>
              </w:rPr>
              <w:t>物体打击</w:t>
            </w:r>
          </w:p>
        </w:tc>
        <w:tc>
          <w:tcPr>
            <w:tcW w:w="2851" w:type="dxa"/>
            <w:tcBorders>
              <w:right w:val="single" w:color="auto" w:sz="4" w:space="0"/>
            </w:tcBorders>
            <w:noWrap w:val="0"/>
            <w:vAlign w:val="center"/>
          </w:tcPr>
          <w:p>
            <w:pPr>
              <w:pStyle w:val="12"/>
              <w:spacing w:line="300" w:lineRule="exact"/>
              <w:rPr>
                <w:rFonts w:hint="eastAsia" w:ascii="宋体" w:hAnsi="宋体" w:eastAsia="宋体" w:cs="宋体"/>
                <w:bCs/>
                <w:kern w:val="2"/>
                <w:sz w:val="21"/>
                <w:szCs w:val="21"/>
                <w:lang w:val="en-US" w:eastAsia="zh-CN" w:bidi="ar-SA"/>
              </w:rPr>
            </w:pPr>
            <w:r>
              <w:rPr>
                <w:rFonts w:hint="eastAsia" w:ascii="宋体" w:hAnsi="宋体" w:eastAsia="宋体" w:cs="宋体"/>
                <w:bCs/>
                <w:sz w:val="21"/>
                <w:szCs w:val="21"/>
              </w:rPr>
              <w:t>采场矿石搬运、铲装作业工作面等</w:t>
            </w:r>
          </w:p>
        </w:tc>
        <w:tc>
          <w:tcPr>
            <w:tcW w:w="2033" w:type="dxa"/>
            <w:tcBorders>
              <w:right w:val="single" w:color="auto" w:sz="4" w:space="0"/>
            </w:tcBorders>
            <w:noWrap w:val="0"/>
            <w:vAlign w:val="center"/>
          </w:tcPr>
          <w:p>
            <w:pPr>
              <w:adjustRightInd w:val="0"/>
              <w:snapToGrid w:val="0"/>
              <w:spacing w:line="300" w:lineRule="exact"/>
              <w:rPr>
                <w:rFonts w:hint="eastAsia" w:ascii="宋体" w:hAnsi="宋体" w:eastAsia="宋体" w:cs="宋体"/>
                <w:bCs/>
                <w:kern w:val="2"/>
                <w:sz w:val="21"/>
                <w:szCs w:val="21"/>
                <w:lang w:val="en-US" w:eastAsia="zh-CN" w:bidi="ar-SA"/>
              </w:rPr>
            </w:pPr>
            <w:r>
              <w:rPr>
                <w:rFonts w:hint="eastAsia" w:ascii="宋体" w:hAnsi="宋体" w:eastAsia="宋体" w:cs="宋体"/>
                <w:bCs/>
                <w:sz w:val="21"/>
                <w:szCs w:val="21"/>
              </w:rPr>
              <w:t>人员伤亡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0" w:hRule="atLeast"/>
          <w:jc w:val="center"/>
        </w:trPr>
        <w:tc>
          <w:tcPr>
            <w:tcW w:w="691" w:type="dxa"/>
            <w:vMerge w:val="continue"/>
            <w:tcBorders>
              <w:lef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c>
          <w:tcPr>
            <w:tcW w:w="701" w:type="dxa"/>
            <w:noWrap w:val="0"/>
            <w:vAlign w:val="center"/>
          </w:tcPr>
          <w:p>
            <w:pPr>
              <w:adjustRightInd w:val="0"/>
              <w:snapToGrid w:val="0"/>
              <w:spacing w:line="300" w:lineRule="exact"/>
              <w:jc w:val="center"/>
              <w:rPr>
                <w:rFonts w:hint="eastAsia" w:ascii="宋体" w:hAnsi="宋体" w:eastAsia="宋体" w:cs="宋体"/>
                <w:bCs/>
                <w:sz w:val="21"/>
                <w:szCs w:val="21"/>
              </w:rPr>
            </w:pPr>
            <w:r>
              <w:rPr>
                <w:rFonts w:hint="eastAsia" w:ascii="宋体" w:hAnsi="宋体" w:eastAsia="宋体" w:cs="宋体"/>
                <w:bCs/>
                <w:sz w:val="21"/>
                <w:szCs w:val="21"/>
              </w:rPr>
              <w:t>3</w:t>
            </w:r>
          </w:p>
        </w:tc>
        <w:tc>
          <w:tcPr>
            <w:tcW w:w="2552" w:type="dxa"/>
            <w:noWrap w:val="0"/>
            <w:vAlign w:val="center"/>
          </w:tcPr>
          <w:p>
            <w:pPr>
              <w:adjustRightInd w:val="0"/>
              <w:snapToGrid w:val="0"/>
              <w:spacing w:line="300" w:lineRule="exact"/>
              <w:rPr>
                <w:rFonts w:hint="eastAsia" w:ascii="宋体" w:hAnsi="宋体" w:eastAsia="宋体" w:cs="宋体"/>
                <w:bCs/>
                <w:kern w:val="2"/>
                <w:sz w:val="21"/>
                <w:szCs w:val="21"/>
                <w:lang w:val="en-US" w:eastAsia="zh-CN" w:bidi="ar-SA"/>
              </w:rPr>
            </w:pPr>
            <w:r>
              <w:rPr>
                <w:rFonts w:hint="eastAsia" w:ascii="宋体" w:hAnsi="宋体" w:eastAsia="宋体" w:cs="宋体"/>
                <w:bCs/>
                <w:sz w:val="21"/>
                <w:szCs w:val="21"/>
              </w:rPr>
              <w:t>高处坠落</w:t>
            </w:r>
          </w:p>
        </w:tc>
        <w:tc>
          <w:tcPr>
            <w:tcW w:w="2851" w:type="dxa"/>
            <w:tcBorders>
              <w:right w:val="single" w:color="auto" w:sz="4" w:space="0"/>
            </w:tcBorders>
            <w:noWrap w:val="0"/>
            <w:vAlign w:val="center"/>
          </w:tcPr>
          <w:p>
            <w:pPr>
              <w:adjustRightInd w:val="0"/>
              <w:snapToGrid w:val="0"/>
              <w:spacing w:line="300" w:lineRule="exact"/>
              <w:rPr>
                <w:rFonts w:hint="eastAsia" w:ascii="宋体" w:hAnsi="宋体" w:eastAsia="宋体" w:cs="宋体"/>
                <w:bCs/>
                <w:kern w:val="2"/>
                <w:sz w:val="21"/>
                <w:szCs w:val="21"/>
                <w:lang w:val="en-US" w:eastAsia="zh-CN" w:bidi="ar-SA"/>
              </w:rPr>
            </w:pPr>
            <w:r>
              <w:rPr>
                <w:rFonts w:hint="eastAsia" w:ascii="宋体" w:hAnsi="宋体" w:eastAsia="宋体" w:cs="宋体"/>
                <w:bCs/>
                <w:sz w:val="21"/>
                <w:szCs w:val="21"/>
              </w:rPr>
              <w:t>采场边坡及工艺过程中2m及以上的作业平台等</w:t>
            </w:r>
          </w:p>
        </w:tc>
        <w:tc>
          <w:tcPr>
            <w:tcW w:w="2033" w:type="dxa"/>
            <w:tcBorders>
              <w:right w:val="single" w:color="auto" w:sz="4" w:space="0"/>
            </w:tcBorders>
            <w:noWrap w:val="0"/>
            <w:vAlign w:val="center"/>
          </w:tcPr>
          <w:p>
            <w:pPr>
              <w:adjustRightInd w:val="0"/>
              <w:snapToGrid w:val="0"/>
              <w:spacing w:line="300" w:lineRule="exact"/>
              <w:rPr>
                <w:rFonts w:hint="eastAsia" w:ascii="宋体" w:hAnsi="宋体" w:eastAsia="宋体" w:cs="宋体"/>
                <w:bCs/>
                <w:kern w:val="2"/>
                <w:sz w:val="21"/>
                <w:szCs w:val="21"/>
                <w:lang w:val="en-US" w:eastAsia="zh-CN" w:bidi="ar-SA"/>
              </w:rPr>
            </w:pPr>
            <w:r>
              <w:rPr>
                <w:rFonts w:hint="eastAsia" w:ascii="宋体" w:hAnsi="宋体" w:eastAsia="宋体" w:cs="宋体"/>
                <w:bCs/>
                <w:sz w:val="21"/>
                <w:szCs w:val="21"/>
              </w:rPr>
              <w:t>人员伤亡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1" w:type="dxa"/>
            <w:vMerge w:val="continue"/>
            <w:tcBorders>
              <w:lef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c>
          <w:tcPr>
            <w:tcW w:w="701" w:type="dxa"/>
            <w:noWrap w:val="0"/>
            <w:vAlign w:val="center"/>
          </w:tcPr>
          <w:p>
            <w:pPr>
              <w:adjustRightInd w:val="0"/>
              <w:snapToGrid w:val="0"/>
              <w:spacing w:line="300" w:lineRule="exact"/>
              <w:jc w:val="center"/>
              <w:rPr>
                <w:rFonts w:hint="eastAsia" w:ascii="宋体" w:hAnsi="宋体" w:eastAsia="宋体" w:cs="宋体"/>
                <w:bCs/>
                <w:sz w:val="21"/>
                <w:szCs w:val="21"/>
              </w:rPr>
            </w:pPr>
            <w:r>
              <w:rPr>
                <w:rFonts w:hint="eastAsia" w:ascii="宋体" w:hAnsi="宋体" w:eastAsia="宋体" w:cs="宋体"/>
                <w:bCs/>
                <w:sz w:val="21"/>
                <w:szCs w:val="21"/>
              </w:rPr>
              <w:t>4</w:t>
            </w:r>
          </w:p>
        </w:tc>
        <w:tc>
          <w:tcPr>
            <w:tcW w:w="2552" w:type="dxa"/>
            <w:noWrap w:val="0"/>
            <w:vAlign w:val="center"/>
          </w:tcPr>
          <w:p>
            <w:pPr>
              <w:adjustRightInd w:val="0"/>
              <w:snapToGrid w:val="0"/>
              <w:spacing w:line="300" w:lineRule="exact"/>
              <w:rPr>
                <w:rFonts w:hint="eastAsia" w:ascii="宋体" w:hAnsi="宋体" w:eastAsia="宋体" w:cs="宋体"/>
                <w:bCs/>
                <w:kern w:val="2"/>
                <w:sz w:val="21"/>
                <w:szCs w:val="21"/>
                <w:lang w:val="en-US" w:eastAsia="zh-CN" w:bidi="ar-SA"/>
              </w:rPr>
            </w:pPr>
            <w:r>
              <w:rPr>
                <w:rFonts w:hint="eastAsia" w:ascii="宋体" w:hAnsi="宋体" w:eastAsia="宋体" w:cs="宋体"/>
                <w:bCs/>
                <w:sz w:val="21"/>
                <w:szCs w:val="21"/>
              </w:rPr>
              <w:t>车辆伤害</w:t>
            </w:r>
          </w:p>
        </w:tc>
        <w:tc>
          <w:tcPr>
            <w:tcW w:w="2851" w:type="dxa"/>
            <w:tcBorders>
              <w:right w:val="single" w:color="auto" w:sz="4" w:space="0"/>
            </w:tcBorders>
            <w:noWrap w:val="0"/>
            <w:vAlign w:val="center"/>
          </w:tcPr>
          <w:p>
            <w:pPr>
              <w:adjustRightInd w:val="0"/>
              <w:snapToGrid w:val="0"/>
              <w:spacing w:line="300" w:lineRule="exact"/>
              <w:rPr>
                <w:rFonts w:hint="eastAsia" w:ascii="宋体" w:hAnsi="宋体" w:eastAsia="宋体" w:cs="宋体"/>
                <w:bCs/>
                <w:kern w:val="2"/>
                <w:sz w:val="21"/>
                <w:szCs w:val="21"/>
                <w:lang w:val="en-US" w:eastAsia="zh-CN" w:bidi="ar-SA"/>
              </w:rPr>
            </w:pPr>
            <w:r>
              <w:rPr>
                <w:rFonts w:hint="eastAsia" w:ascii="宋体" w:hAnsi="宋体" w:eastAsia="宋体" w:cs="宋体"/>
                <w:bCs/>
                <w:sz w:val="21"/>
                <w:szCs w:val="21"/>
              </w:rPr>
              <w:t>运输过程中的各种车辆设备</w:t>
            </w:r>
          </w:p>
        </w:tc>
        <w:tc>
          <w:tcPr>
            <w:tcW w:w="2033" w:type="dxa"/>
            <w:tcBorders>
              <w:right w:val="single" w:color="auto" w:sz="4" w:space="0"/>
            </w:tcBorders>
            <w:noWrap w:val="0"/>
            <w:vAlign w:val="center"/>
          </w:tcPr>
          <w:p>
            <w:pPr>
              <w:adjustRightInd w:val="0"/>
              <w:snapToGrid w:val="0"/>
              <w:spacing w:line="300" w:lineRule="exact"/>
              <w:rPr>
                <w:rFonts w:hint="eastAsia" w:ascii="宋体" w:hAnsi="宋体" w:eastAsia="宋体" w:cs="宋体"/>
                <w:bCs/>
                <w:kern w:val="2"/>
                <w:sz w:val="21"/>
                <w:szCs w:val="21"/>
                <w:lang w:val="en-US" w:eastAsia="zh-CN" w:bidi="ar-SA"/>
              </w:rPr>
            </w:pPr>
            <w:r>
              <w:rPr>
                <w:rFonts w:hint="eastAsia" w:ascii="宋体" w:hAnsi="宋体" w:eastAsia="宋体" w:cs="宋体"/>
                <w:bCs/>
                <w:sz w:val="21"/>
                <w:szCs w:val="21"/>
              </w:rPr>
              <w:t>人员伤亡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691" w:type="dxa"/>
            <w:vMerge w:val="continue"/>
            <w:tcBorders>
              <w:lef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c>
          <w:tcPr>
            <w:tcW w:w="701" w:type="dxa"/>
            <w:noWrap w:val="0"/>
            <w:vAlign w:val="center"/>
          </w:tcPr>
          <w:p>
            <w:pPr>
              <w:adjustRightInd w:val="0"/>
              <w:snapToGrid w:val="0"/>
              <w:spacing w:line="300" w:lineRule="exact"/>
              <w:jc w:val="center"/>
              <w:rPr>
                <w:rFonts w:hint="eastAsia" w:ascii="宋体" w:hAnsi="宋体" w:eastAsia="宋体" w:cs="宋体"/>
                <w:bCs/>
                <w:sz w:val="21"/>
                <w:szCs w:val="21"/>
              </w:rPr>
            </w:pPr>
            <w:r>
              <w:rPr>
                <w:rFonts w:hint="eastAsia" w:ascii="宋体" w:hAnsi="宋体" w:eastAsia="宋体" w:cs="宋体"/>
                <w:bCs/>
                <w:sz w:val="21"/>
                <w:szCs w:val="21"/>
              </w:rPr>
              <w:t>5</w:t>
            </w:r>
          </w:p>
        </w:tc>
        <w:tc>
          <w:tcPr>
            <w:tcW w:w="2552" w:type="dxa"/>
            <w:noWrap w:val="0"/>
            <w:vAlign w:val="center"/>
          </w:tcPr>
          <w:p>
            <w:pPr>
              <w:adjustRightInd w:val="0"/>
              <w:snapToGrid w:val="0"/>
              <w:spacing w:line="300" w:lineRule="exact"/>
              <w:rPr>
                <w:rFonts w:hint="eastAsia" w:ascii="宋体" w:hAnsi="宋体" w:eastAsia="宋体" w:cs="宋体"/>
                <w:bCs/>
                <w:kern w:val="2"/>
                <w:sz w:val="21"/>
                <w:szCs w:val="21"/>
                <w:lang w:val="en-US" w:eastAsia="zh-CN" w:bidi="ar-SA"/>
              </w:rPr>
            </w:pPr>
            <w:r>
              <w:rPr>
                <w:rFonts w:hint="eastAsia" w:ascii="宋体" w:hAnsi="宋体" w:eastAsia="宋体" w:cs="宋体"/>
                <w:bCs/>
                <w:sz w:val="21"/>
                <w:szCs w:val="21"/>
              </w:rPr>
              <w:t>机械伤害</w:t>
            </w:r>
          </w:p>
        </w:tc>
        <w:tc>
          <w:tcPr>
            <w:tcW w:w="2851" w:type="dxa"/>
            <w:tcBorders>
              <w:right w:val="single" w:color="auto" w:sz="4" w:space="0"/>
            </w:tcBorders>
            <w:noWrap w:val="0"/>
            <w:vAlign w:val="center"/>
          </w:tcPr>
          <w:p>
            <w:pPr>
              <w:adjustRightInd w:val="0"/>
              <w:snapToGrid w:val="0"/>
              <w:spacing w:line="300" w:lineRule="exact"/>
              <w:rPr>
                <w:rFonts w:hint="eastAsia" w:ascii="宋体" w:hAnsi="宋体" w:eastAsia="宋体" w:cs="宋体"/>
                <w:bCs/>
                <w:kern w:val="2"/>
                <w:sz w:val="21"/>
                <w:szCs w:val="21"/>
                <w:lang w:val="en-US" w:eastAsia="zh-CN" w:bidi="ar-SA"/>
              </w:rPr>
            </w:pPr>
            <w:r>
              <w:rPr>
                <w:rFonts w:hint="eastAsia" w:ascii="宋体" w:hAnsi="宋体" w:eastAsia="宋体" w:cs="宋体"/>
                <w:bCs/>
                <w:sz w:val="21"/>
                <w:szCs w:val="21"/>
              </w:rPr>
              <w:t>各种设备引起的机械事故</w:t>
            </w:r>
          </w:p>
        </w:tc>
        <w:tc>
          <w:tcPr>
            <w:tcW w:w="2033" w:type="dxa"/>
            <w:tcBorders>
              <w:right w:val="single" w:color="auto" w:sz="4" w:space="0"/>
            </w:tcBorders>
            <w:noWrap w:val="0"/>
            <w:vAlign w:val="center"/>
          </w:tcPr>
          <w:p>
            <w:pPr>
              <w:adjustRightInd w:val="0"/>
              <w:snapToGrid w:val="0"/>
              <w:spacing w:line="300" w:lineRule="exact"/>
              <w:rPr>
                <w:rFonts w:hint="eastAsia" w:ascii="宋体" w:hAnsi="宋体" w:eastAsia="宋体" w:cs="宋体"/>
                <w:bCs/>
                <w:kern w:val="2"/>
                <w:sz w:val="21"/>
                <w:szCs w:val="21"/>
                <w:lang w:val="en-US" w:eastAsia="zh-CN" w:bidi="ar-SA"/>
              </w:rPr>
            </w:pPr>
            <w:r>
              <w:rPr>
                <w:rFonts w:hint="eastAsia" w:ascii="宋体" w:hAnsi="宋体" w:eastAsia="宋体" w:cs="宋体"/>
                <w:bCs/>
                <w:sz w:val="21"/>
                <w:szCs w:val="21"/>
              </w:rPr>
              <w:t>人员伤亡、设备损失</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1" w:type="dxa"/>
            <w:vMerge w:val="continue"/>
            <w:tcBorders>
              <w:lef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c>
          <w:tcPr>
            <w:tcW w:w="701" w:type="dxa"/>
            <w:noWrap w:val="0"/>
            <w:vAlign w:val="center"/>
          </w:tcPr>
          <w:p>
            <w:pPr>
              <w:adjustRightInd w:val="0"/>
              <w:snapToGrid w:val="0"/>
              <w:spacing w:line="300" w:lineRule="exact"/>
              <w:jc w:val="center"/>
              <w:rPr>
                <w:rFonts w:hint="eastAsia" w:ascii="宋体" w:hAnsi="宋体" w:eastAsia="宋体" w:cs="宋体"/>
                <w:bCs/>
                <w:sz w:val="21"/>
                <w:szCs w:val="21"/>
              </w:rPr>
            </w:pPr>
            <w:r>
              <w:rPr>
                <w:rFonts w:hint="eastAsia" w:ascii="宋体" w:hAnsi="宋体" w:eastAsia="宋体" w:cs="宋体"/>
                <w:bCs/>
                <w:sz w:val="21"/>
                <w:szCs w:val="21"/>
              </w:rPr>
              <w:t>6</w:t>
            </w:r>
          </w:p>
        </w:tc>
        <w:tc>
          <w:tcPr>
            <w:tcW w:w="2552" w:type="dxa"/>
            <w:noWrap w:val="0"/>
            <w:vAlign w:val="center"/>
          </w:tcPr>
          <w:p>
            <w:pPr>
              <w:adjustRightInd w:val="0"/>
              <w:snapToGrid w:val="0"/>
              <w:spacing w:line="300" w:lineRule="exact"/>
              <w:rPr>
                <w:rFonts w:hint="eastAsia" w:ascii="宋体" w:hAnsi="宋体" w:eastAsia="宋体" w:cs="宋体"/>
                <w:bCs/>
                <w:kern w:val="2"/>
                <w:sz w:val="21"/>
                <w:szCs w:val="21"/>
                <w:lang w:val="en-US" w:eastAsia="zh-CN" w:bidi="ar-SA"/>
              </w:rPr>
            </w:pPr>
            <w:r>
              <w:rPr>
                <w:rFonts w:hint="eastAsia" w:ascii="宋体" w:hAnsi="宋体" w:eastAsia="宋体" w:cs="宋体"/>
                <w:bCs/>
                <w:sz w:val="21"/>
                <w:szCs w:val="21"/>
              </w:rPr>
              <w:t>火灾</w:t>
            </w:r>
          </w:p>
        </w:tc>
        <w:tc>
          <w:tcPr>
            <w:tcW w:w="2851" w:type="dxa"/>
            <w:tcBorders>
              <w:right w:val="single" w:color="auto" w:sz="4" w:space="0"/>
            </w:tcBorders>
            <w:noWrap w:val="0"/>
            <w:vAlign w:val="center"/>
          </w:tcPr>
          <w:p>
            <w:pPr>
              <w:adjustRightInd w:val="0"/>
              <w:snapToGrid w:val="0"/>
              <w:spacing w:line="300" w:lineRule="exact"/>
              <w:rPr>
                <w:rFonts w:hint="eastAsia" w:ascii="宋体" w:hAnsi="宋体" w:eastAsia="宋体" w:cs="宋体"/>
                <w:bCs/>
                <w:kern w:val="2"/>
                <w:sz w:val="21"/>
                <w:szCs w:val="21"/>
                <w:lang w:val="en-US" w:eastAsia="zh-CN" w:bidi="ar-SA"/>
              </w:rPr>
            </w:pPr>
            <w:r>
              <w:rPr>
                <w:rFonts w:hint="eastAsia" w:ascii="宋体" w:hAnsi="宋体" w:eastAsia="宋体" w:cs="宋体"/>
                <w:bCs/>
                <w:sz w:val="21"/>
                <w:szCs w:val="21"/>
              </w:rPr>
              <w:t>机械设备及电气设备、线路</w:t>
            </w:r>
          </w:p>
        </w:tc>
        <w:tc>
          <w:tcPr>
            <w:tcW w:w="2033" w:type="dxa"/>
            <w:tcBorders>
              <w:right w:val="single" w:color="auto" w:sz="4" w:space="0"/>
            </w:tcBorders>
            <w:noWrap w:val="0"/>
            <w:vAlign w:val="center"/>
          </w:tcPr>
          <w:p>
            <w:pPr>
              <w:adjustRightInd w:val="0"/>
              <w:snapToGrid w:val="0"/>
              <w:spacing w:line="300" w:lineRule="exact"/>
              <w:rPr>
                <w:rFonts w:hint="eastAsia" w:ascii="宋体" w:hAnsi="宋体" w:eastAsia="宋体" w:cs="宋体"/>
                <w:bCs/>
                <w:kern w:val="2"/>
                <w:sz w:val="21"/>
                <w:szCs w:val="21"/>
                <w:lang w:val="en-US" w:eastAsia="zh-CN" w:bidi="ar-SA"/>
              </w:rPr>
            </w:pPr>
            <w:r>
              <w:rPr>
                <w:rFonts w:hint="eastAsia" w:ascii="宋体" w:hAnsi="宋体" w:eastAsia="宋体" w:cs="宋体"/>
                <w:bCs/>
                <w:sz w:val="21"/>
                <w:szCs w:val="21"/>
              </w:rPr>
              <w:t>人员伤亡、设备损失</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1" w:type="dxa"/>
            <w:vMerge w:val="continue"/>
            <w:tcBorders>
              <w:lef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c>
          <w:tcPr>
            <w:tcW w:w="701" w:type="dxa"/>
            <w:noWrap w:val="0"/>
            <w:vAlign w:val="center"/>
          </w:tcPr>
          <w:p>
            <w:pPr>
              <w:adjustRightInd w:val="0"/>
              <w:snapToGrid w:val="0"/>
              <w:spacing w:line="300" w:lineRule="exact"/>
              <w:jc w:val="center"/>
              <w:rPr>
                <w:rFonts w:hint="eastAsia" w:ascii="宋体" w:hAnsi="宋体" w:eastAsia="宋体" w:cs="宋体"/>
                <w:bCs/>
                <w:sz w:val="21"/>
                <w:szCs w:val="21"/>
              </w:rPr>
            </w:pPr>
            <w:r>
              <w:rPr>
                <w:rFonts w:hint="eastAsia" w:ascii="宋体" w:hAnsi="宋体" w:eastAsia="宋体" w:cs="宋体"/>
                <w:bCs/>
                <w:sz w:val="21"/>
                <w:szCs w:val="21"/>
              </w:rPr>
              <w:t>7</w:t>
            </w:r>
          </w:p>
        </w:tc>
        <w:tc>
          <w:tcPr>
            <w:tcW w:w="2552" w:type="dxa"/>
            <w:noWrap w:val="0"/>
            <w:vAlign w:val="center"/>
          </w:tcPr>
          <w:p>
            <w:pPr>
              <w:adjustRightInd w:val="0"/>
              <w:snapToGrid w:val="0"/>
              <w:spacing w:line="300" w:lineRule="exact"/>
              <w:rPr>
                <w:rFonts w:hint="eastAsia" w:ascii="宋体" w:hAnsi="宋体" w:eastAsia="宋体" w:cs="宋体"/>
                <w:bCs/>
                <w:kern w:val="2"/>
                <w:sz w:val="21"/>
                <w:szCs w:val="21"/>
                <w:lang w:val="en-US" w:eastAsia="zh-CN" w:bidi="ar-SA"/>
              </w:rPr>
            </w:pPr>
            <w:r>
              <w:rPr>
                <w:rFonts w:hint="eastAsia" w:ascii="宋体" w:hAnsi="宋体" w:eastAsia="宋体" w:cs="宋体"/>
                <w:bCs/>
                <w:sz w:val="21"/>
                <w:szCs w:val="21"/>
              </w:rPr>
              <w:t>触电、雷电</w:t>
            </w:r>
          </w:p>
        </w:tc>
        <w:tc>
          <w:tcPr>
            <w:tcW w:w="2851" w:type="dxa"/>
            <w:tcBorders>
              <w:right w:val="single" w:color="auto" w:sz="4" w:space="0"/>
            </w:tcBorders>
            <w:noWrap w:val="0"/>
            <w:vAlign w:val="center"/>
          </w:tcPr>
          <w:p>
            <w:pPr>
              <w:adjustRightInd w:val="0"/>
              <w:snapToGrid w:val="0"/>
              <w:spacing w:line="300" w:lineRule="exact"/>
              <w:rPr>
                <w:rFonts w:hint="eastAsia" w:ascii="宋体" w:hAnsi="宋体" w:eastAsia="宋体" w:cs="宋体"/>
                <w:bCs/>
                <w:kern w:val="2"/>
                <w:sz w:val="21"/>
                <w:szCs w:val="21"/>
                <w:lang w:val="en-US" w:eastAsia="zh-CN" w:bidi="ar-SA"/>
              </w:rPr>
            </w:pPr>
            <w:r>
              <w:rPr>
                <w:rFonts w:hint="eastAsia" w:ascii="宋体" w:hAnsi="宋体" w:eastAsia="宋体" w:cs="宋体"/>
                <w:bCs/>
                <w:sz w:val="21"/>
                <w:szCs w:val="21"/>
              </w:rPr>
              <w:t>各种电气设备及其线路</w:t>
            </w:r>
          </w:p>
        </w:tc>
        <w:tc>
          <w:tcPr>
            <w:tcW w:w="2033" w:type="dxa"/>
            <w:tcBorders>
              <w:right w:val="single" w:color="auto" w:sz="4" w:space="0"/>
            </w:tcBorders>
            <w:noWrap w:val="0"/>
            <w:vAlign w:val="center"/>
          </w:tcPr>
          <w:p>
            <w:pPr>
              <w:adjustRightInd w:val="0"/>
              <w:snapToGrid w:val="0"/>
              <w:spacing w:line="300" w:lineRule="exact"/>
              <w:rPr>
                <w:rFonts w:hint="eastAsia" w:ascii="宋体" w:hAnsi="宋体" w:eastAsia="宋体" w:cs="宋体"/>
                <w:bCs/>
                <w:kern w:val="2"/>
                <w:sz w:val="21"/>
                <w:szCs w:val="21"/>
                <w:lang w:val="en-US" w:eastAsia="zh-CN" w:bidi="ar-SA"/>
              </w:rPr>
            </w:pPr>
            <w:r>
              <w:rPr>
                <w:rFonts w:hint="eastAsia" w:ascii="宋体" w:hAnsi="宋体" w:eastAsia="宋体" w:cs="宋体"/>
                <w:bCs/>
                <w:sz w:val="21"/>
                <w:szCs w:val="21"/>
              </w:rPr>
              <w:t>人员伤亡、设备损坏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1" w:type="dxa"/>
            <w:vMerge w:val="continue"/>
            <w:tcBorders>
              <w:lef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c>
          <w:tcPr>
            <w:tcW w:w="701" w:type="dxa"/>
            <w:noWrap w:val="0"/>
            <w:vAlign w:val="center"/>
          </w:tcPr>
          <w:p>
            <w:pPr>
              <w:adjustRightInd w:val="0"/>
              <w:snapToGrid w:val="0"/>
              <w:spacing w:line="300" w:lineRule="exact"/>
              <w:jc w:val="center"/>
              <w:rPr>
                <w:rFonts w:hint="eastAsia" w:ascii="宋体" w:hAnsi="宋体" w:eastAsia="宋体" w:cs="宋体"/>
                <w:bCs/>
                <w:sz w:val="21"/>
                <w:szCs w:val="21"/>
              </w:rPr>
            </w:pPr>
            <w:r>
              <w:rPr>
                <w:rFonts w:hint="eastAsia" w:ascii="宋体" w:hAnsi="宋体" w:eastAsia="宋体" w:cs="宋体"/>
                <w:bCs/>
                <w:sz w:val="21"/>
                <w:szCs w:val="21"/>
              </w:rPr>
              <w:t>8</w:t>
            </w:r>
          </w:p>
        </w:tc>
        <w:tc>
          <w:tcPr>
            <w:tcW w:w="2552" w:type="dxa"/>
            <w:noWrap w:val="0"/>
            <w:vAlign w:val="center"/>
          </w:tcPr>
          <w:p>
            <w:pPr>
              <w:adjustRightInd w:val="0"/>
              <w:snapToGrid w:val="0"/>
              <w:spacing w:line="300" w:lineRule="exact"/>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淹溺</w:t>
            </w:r>
          </w:p>
        </w:tc>
        <w:tc>
          <w:tcPr>
            <w:tcW w:w="2851" w:type="dxa"/>
            <w:tcBorders>
              <w:right w:val="single" w:color="auto" w:sz="4" w:space="0"/>
            </w:tcBorders>
            <w:noWrap w:val="0"/>
            <w:vAlign w:val="center"/>
          </w:tcPr>
          <w:p>
            <w:pPr>
              <w:adjustRightInd w:val="0"/>
              <w:snapToGrid w:val="0"/>
              <w:spacing w:line="300" w:lineRule="exact"/>
              <w:rPr>
                <w:rFonts w:hint="eastAsia" w:ascii="宋体" w:hAnsi="宋体" w:eastAsia="宋体" w:cs="宋体"/>
                <w:bCs/>
                <w:sz w:val="21"/>
                <w:szCs w:val="21"/>
                <w:lang w:val="en-US" w:eastAsia="zh-CN"/>
              </w:rPr>
            </w:pPr>
            <w:r>
              <w:rPr>
                <w:rFonts w:hint="eastAsia" w:ascii="宋体" w:hAnsi="宋体" w:eastAsia="宋体" w:cs="宋体"/>
                <w:bCs/>
                <w:sz w:val="21"/>
                <w:szCs w:val="21"/>
                <w:lang w:val="en-US" w:eastAsia="zh-CN"/>
              </w:rPr>
              <w:t>淤泥池、集水池等</w:t>
            </w:r>
          </w:p>
        </w:tc>
        <w:tc>
          <w:tcPr>
            <w:tcW w:w="2033" w:type="dxa"/>
            <w:tcBorders>
              <w:righ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r>
              <w:rPr>
                <w:rFonts w:hint="eastAsia" w:ascii="宋体" w:hAnsi="宋体" w:eastAsia="宋体" w:cs="宋体"/>
                <w:bCs/>
                <w:sz w:val="21"/>
                <w:szCs w:val="21"/>
              </w:rPr>
              <w:t>人员伤亡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691" w:type="dxa"/>
            <w:vMerge w:val="restart"/>
            <w:tcBorders>
              <w:lef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r>
              <w:rPr>
                <w:rFonts w:hint="eastAsia" w:ascii="宋体" w:hAnsi="宋体" w:eastAsia="宋体" w:cs="宋体"/>
                <w:bCs/>
                <w:sz w:val="21"/>
                <w:szCs w:val="21"/>
              </w:rPr>
              <w:t>有害因素</w:t>
            </w:r>
          </w:p>
        </w:tc>
        <w:tc>
          <w:tcPr>
            <w:tcW w:w="701" w:type="dxa"/>
            <w:noWrap w:val="0"/>
            <w:vAlign w:val="center"/>
          </w:tcPr>
          <w:p>
            <w:pPr>
              <w:adjustRightInd w:val="0"/>
              <w:snapToGrid w:val="0"/>
              <w:spacing w:line="300" w:lineRule="exact"/>
              <w:jc w:val="center"/>
              <w:rPr>
                <w:rFonts w:hint="eastAsia" w:ascii="宋体" w:hAnsi="宋体" w:eastAsia="宋体" w:cs="宋体"/>
                <w:bCs/>
                <w:sz w:val="21"/>
                <w:szCs w:val="21"/>
              </w:rPr>
            </w:pPr>
            <w:r>
              <w:rPr>
                <w:rFonts w:hint="eastAsia" w:ascii="宋体" w:hAnsi="宋体" w:eastAsia="宋体" w:cs="宋体"/>
                <w:bCs/>
                <w:sz w:val="21"/>
                <w:szCs w:val="21"/>
              </w:rPr>
              <w:t>1</w:t>
            </w:r>
          </w:p>
        </w:tc>
        <w:tc>
          <w:tcPr>
            <w:tcW w:w="2552" w:type="dxa"/>
            <w:noWrap w:val="0"/>
            <w:vAlign w:val="center"/>
          </w:tcPr>
          <w:p>
            <w:pPr>
              <w:adjustRightInd w:val="0"/>
              <w:snapToGrid w:val="0"/>
              <w:spacing w:line="300" w:lineRule="exact"/>
              <w:rPr>
                <w:rFonts w:hint="eastAsia" w:ascii="宋体" w:hAnsi="宋体" w:eastAsia="宋体" w:cs="宋体"/>
                <w:bCs/>
                <w:sz w:val="21"/>
                <w:szCs w:val="21"/>
              </w:rPr>
            </w:pPr>
            <w:r>
              <w:rPr>
                <w:rFonts w:hint="eastAsia" w:ascii="宋体" w:hAnsi="宋体" w:eastAsia="宋体" w:cs="宋体"/>
                <w:bCs/>
                <w:sz w:val="21"/>
                <w:szCs w:val="21"/>
              </w:rPr>
              <w:t>粉尘</w:t>
            </w:r>
          </w:p>
        </w:tc>
        <w:tc>
          <w:tcPr>
            <w:tcW w:w="2851" w:type="dxa"/>
            <w:tcBorders>
              <w:righ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r>
              <w:rPr>
                <w:rFonts w:hint="eastAsia" w:ascii="宋体" w:hAnsi="宋体" w:eastAsia="宋体" w:cs="宋体"/>
                <w:bCs/>
                <w:sz w:val="21"/>
                <w:szCs w:val="21"/>
              </w:rPr>
              <w:t>采场铲装工作面、矿岩转运作业</w:t>
            </w:r>
          </w:p>
        </w:tc>
        <w:tc>
          <w:tcPr>
            <w:tcW w:w="2033" w:type="dxa"/>
            <w:tcBorders>
              <w:righ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r>
              <w:rPr>
                <w:rFonts w:hint="eastAsia" w:ascii="宋体" w:hAnsi="宋体" w:eastAsia="宋体" w:cs="宋体"/>
                <w:bCs/>
                <w:sz w:val="21"/>
                <w:szCs w:val="21"/>
              </w:rPr>
              <w:t>慢性伤害、职业病</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1" w:type="dxa"/>
            <w:vMerge w:val="continue"/>
            <w:tcBorders>
              <w:lef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c>
          <w:tcPr>
            <w:tcW w:w="701" w:type="dxa"/>
            <w:noWrap w:val="0"/>
            <w:vAlign w:val="center"/>
          </w:tcPr>
          <w:p>
            <w:pPr>
              <w:adjustRightInd w:val="0"/>
              <w:snapToGrid w:val="0"/>
              <w:spacing w:line="300" w:lineRule="exact"/>
              <w:jc w:val="center"/>
              <w:rPr>
                <w:rFonts w:hint="eastAsia" w:ascii="宋体" w:hAnsi="宋体" w:eastAsia="宋体" w:cs="宋体"/>
                <w:bCs/>
                <w:sz w:val="21"/>
                <w:szCs w:val="21"/>
              </w:rPr>
            </w:pPr>
            <w:r>
              <w:rPr>
                <w:rFonts w:hint="eastAsia" w:ascii="宋体" w:hAnsi="宋体" w:eastAsia="宋体" w:cs="宋体"/>
                <w:bCs/>
                <w:sz w:val="21"/>
                <w:szCs w:val="21"/>
              </w:rPr>
              <w:t>2</w:t>
            </w:r>
          </w:p>
        </w:tc>
        <w:tc>
          <w:tcPr>
            <w:tcW w:w="2552" w:type="dxa"/>
            <w:noWrap w:val="0"/>
            <w:vAlign w:val="center"/>
          </w:tcPr>
          <w:p>
            <w:pPr>
              <w:adjustRightInd w:val="0"/>
              <w:snapToGrid w:val="0"/>
              <w:spacing w:line="300" w:lineRule="exact"/>
              <w:rPr>
                <w:rFonts w:hint="eastAsia" w:ascii="宋体" w:hAnsi="宋体" w:eastAsia="宋体" w:cs="宋体"/>
                <w:bCs/>
                <w:sz w:val="21"/>
                <w:szCs w:val="21"/>
              </w:rPr>
            </w:pPr>
            <w:r>
              <w:rPr>
                <w:rFonts w:hint="eastAsia" w:ascii="宋体" w:hAnsi="宋体" w:eastAsia="宋体" w:cs="宋体"/>
                <w:bCs/>
                <w:sz w:val="21"/>
                <w:szCs w:val="21"/>
              </w:rPr>
              <w:t>噪声</w:t>
            </w:r>
          </w:p>
        </w:tc>
        <w:tc>
          <w:tcPr>
            <w:tcW w:w="2851" w:type="dxa"/>
            <w:tcBorders>
              <w:righ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r>
              <w:rPr>
                <w:rFonts w:hint="eastAsia" w:ascii="宋体" w:hAnsi="宋体" w:eastAsia="宋体" w:cs="宋体"/>
                <w:bCs/>
                <w:sz w:val="21"/>
                <w:szCs w:val="21"/>
              </w:rPr>
              <w:t>挖掘机、装载机等设备</w:t>
            </w:r>
          </w:p>
        </w:tc>
        <w:tc>
          <w:tcPr>
            <w:tcW w:w="2033" w:type="dxa"/>
            <w:tcBorders>
              <w:righ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r>
              <w:rPr>
                <w:rFonts w:hint="eastAsia" w:ascii="宋体" w:hAnsi="宋体" w:eastAsia="宋体" w:cs="宋体"/>
                <w:bCs/>
                <w:sz w:val="21"/>
                <w:szCs w:val="21"/>
              </w:rPr>
              <w:t>慢性伤害、职业病</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1" w:type="dxa"/>
            <w:vMerge w:val="continue"/>
            <w:tcBorders>
              <w:lef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c>
          <w:tcPr>
            <w:tcW w:w="701" w:type="dxa"/>
            <w:noWrap w:val="0"/>
            <w:vAlign w:val="center"/>
          </w:tcPr>
          <w:p>
            <w:pPr>
              <w:adjustRightInd w:val="0"/>
              <w:snapToGrid w:val="0"/>
              <w:spacing w:line="300" w:lineRule="exact"/>
              <w:jc w:val="center"/>
              <w:rPr>
                <w:rFonts w:hint="eastAsia" w:ascii="宋体" w:hAnsi="宋体" w:eastAsia="宋体" w:cs="宋体"/>
                <w:bCs/>
                <w:sz w:val="21"/>
                <w:szCs w:val="21"/>
              </w:rPr>
            </w:pPr>
            <w:r>
              <w:rPr>
                <w:rFonts w:hint="eastAsia" w:ascii="宋体" w:hAnsi="宋体" w:eastAsia="宋体" w:cs="宋体"/>
                <w:bCs/>
                <w:sz w:val="21"/>
                <w:szCs w:val="21"/>
              </w:rPr>
              <w:t>3</w:t>
            </w:r>
          </w:p>
        </w:tc>
        <w:tc>
          <w:tcPr>
            <w:tcW w:w="2552" w:type="dxa"/>
            <w:noWrap w:val="0"/>
            <w:vAlign w:val="center"/>
          </w:tcPr>
          <w:p>
            <w:pPr>
              <w:adjustRightInd w:val="0"/>
              <w:snapToGrid w:val="0"/>
              <w:spacing w:line="300" w:lineRule="exact"/>
              <w:rPr>
                <w:rFonts w:hint="eastAsia" w:ascii="宋体" w:hAnsi="宋体" w:eastAsia="宋体" w:cs="宋体"/>
                <w:bCs/>
                <w:sz w:val="21"/>
                <w:szCs w:val="21"/>
              </w:rPr>
            </w:pPr>
            <w:r>
              <w:rPr>
                <w:rFonts w:hint="eastAsia" w:ascii="宋体" w:hAnsi="宋体" w:eastAsia="宋体" w:cs="宋体"/>
                <w:bCs/>
                <w:sz w:val="21"/>
                <w:szCs w:val="21"/>
              </w:rPr>
              <w:t>高温</w:t>
            </w:r>
          </w:p>
        </w:tc>
        <w:tc>
          <w:tcPr>
            <w:tcW w:w="2851" w:type="dxa"/>
            <w:tcBorders>
              <w:righ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r>
              <w:rPr>
                <w:rFonts w:hint="eastAsia" w:ascii="宋体" w:hAnsi="宋体" w:eastAsia="宋体" w:cs="宋体"/>
                <w:bCs/>
                <w:sz w:val="21"/>
                <w:szCs w:val="21"/>
              </w:rPr>
              <w:t>露天作业</w:t>
            </w:r>
          </w:p>
        </w:tc>
        <w:tc>
          <w:tcPr>
            <w:tcW w:w="2033" w:type="dxa"/>
            <w:tcBorders>
              <w:righ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r>
              <w:rPr>
                <w:rFonts w:hint="eastAsia" w:ascii="宋体" w:hAnsi="宋体" w:eastAsia="宋体" w:cs="宋体"/>
                <w:bCs/>
                <w:sz w:val="21"/>
                <w:szCs w:val="21"/>
              </w:rPr>
              <w:t>中暑等</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5" w:hRule="atLeast"/>
          <w:jc w:val="center"/>
        </w:trPr>
        <w:tc>
          <w:tcPr>
            <w:tcW w:w="691" w:type="dxa"/>
            <w:vMerge w:val="restart"/>
            <w:tcBorders>
              <w:lef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r>
              <w:rPr>
                <w:rFonts w:hint="eastAsia" w:ascii="宋体" w:hAnsi="宋体" w:eastAsia="宋体" w:cs="宋体"/>
                <w:bCs/>
                <w:sz w:val="21"/>
                <w:szCs w:val="21"/>
              </w:rPr>
              <w:t>管理因素</w:t>
            </w:r>
          </w:p>
        </w:tc>
        <w:tc>
          <w:tcPr>
            <w:tcW w:w="701" w:type="dxa"/>
            <w:noWrap w:val="0"/>
            <w:vAlign w:val="center"/>
          </w:tcPr>
          <w:p>
            <w:pPr>
              <w:adjustRightInd w:val="0"/>
              <w:snapToGrid w:val="0"/>
              <w:spacing w:line="300" w:lineRule="exact"/>
              <w:jc w:val="center"/>
              <w:rPr>
                <w:rFonts w:hint="eastAsia" w:ascii="宋体" w:hAnsi="宋体" w:eastAsia="宋体" w:cs="宋体"/>
                <w:bCs/>
                <w:sz w:val="21"/>
                <w:szCs w:val="21"/>
              </w:rPr>
            </w:pPr>
            <w:r>
              <w:rPr>
                <w:rFonts w:hint="eastAsia" w:ascii="宋体" w:hAnsi="宋体" w:eastAsia="宋体" w:cs="宋体"/>
                <w:bCs/>
                <w:sz w:val="21"/>
                <w:szCs w:val="21"/>
              </w:rPr>
              <w:t>1</w:t>
            </w:r>
          </w:p>
        </w:tc>
        <w:tc>
          <w:tcPr>
            <w:tcW w:w="2552" w:type="dxa"/>
            <w:noWrap w:val="0"/>
            <w:vAlign w:val="center"/>
          </w:tcPr>
          <w:p>
            <w:pPr>
              <w:adjustRightInd w:val="0"/>
              <w:snapToGrid w:val="0"/>
              <w:spacing w:line="300" w:lineRule="exact"/>
              <w:rPr>
                <w:rFonts w:hint="eastAsia" w:ascii="宋体" w:hAnsi="宋体" w:eastAsia="宋体" w:cs="宋体"/>
                <w:bCs/>
                <w:sz w:val="21"/>
                <w:szCs w:val="21"/>
              </w:rPr>
            </w:pPr>
            <w:r>
              <w:rPr>
                <w:rFonts w:hint="eastAsia" w:ascii="宋体" w:hAnsi="宋体" w:eastAsia="宋体" w:cs="宋体"/>
                <w:bCs/>
                <w:sz w:val="21"/>
                <w:szCs w:val="21"/>
              </w:rPr>
              <w:t>未建立安全生产管理机构或安全生产监督检查不到位</w:t>
            </w:r>
          </w:p>
        </w:tc>
        <w:tc>
          <w:tcPr>
            <w:tcW w:w="2851" w:type="dxa"/>
            <w:vMerge w:val="restart"/>
            <w:tcBorders>
              <w:righ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r>
              <w:rPr>
                <w:rFonts w:hint="eastAsia" w:ascii="宋体" w:hAnsi="宋体" w:eastAsia="宋体" w:cs="宋体"/>
                <w:bCs/>
                <w:sz w:val="21"/>
                <w:szCs w:val="21"/>
              </w:rPr>
              <w:t>安全管理过程中，安全生产命令执行过程中</w:t>
            </w:r>
          </w:p>
        </w:tc>
        <w:tc>
          <w:tcPr>
            <w:tcW w:w="2033" w:type="dxa"/>
            <w:vMerge w:val="restart"/>
            <w:tcBorders>
              <w:righ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r>
              <w:rPr>
                <w:rFonts w:hint="eastAsia" w:ascii="宋体" w:hAnsi="宋体" w:eastAsia="宋体" w:cs="宋体"/>
                <w:bCs/>
                <w:sz w:val="21"/>
                <w:szCs w:val="21"/>
              </w:rPr>
              <w:t>人员伤亡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1" w:type="dxa"/>
            <w:vMerge w:val="continue"/>
            <w:tcBorders>
              <w:lef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c>
          <w:tcPr>
            <w:tcW w:w="701" w:type="dxa"/>
            <w:noWrap w:val="0"/>
            <w:vAlign w:val="center"/>
          </w:tcPr>
          <w:p>
            <w:pPr>
              <w:adjustRightInd w:val="0"/>
              <w:snapToGrid w:val="0"/>
              <w:spacing w:line="300" w:lineRule="exact"/>
              <w:jc w:val="center"/>
              <w:rPr>
                <w:rFonts w:hint="eastAsia" w:ascii="宋体" w:hAnsi="宋体" w:eastAsia="宋体" w:cs="宋体"/>
                <w:bCs/>
                <w:sz w:val="21"/>
                <w:szCs w:val="21"/>
              </w:rPr>
            </w:pPr>
            <w:r>
              <w:rPr>
                <w:rFonts w:hint="eastAsia" w:ascii="宋体" w:hAnsi="宋体" w:eastAsia="宋体" w:cs="宋体"/>
                <w:bCs/>
                <w:sz w:val="21"/>
                <w:szCs w:val="21"/>
              </w:rPr>
              <w:t>2</w:t>
            </w:r>
          </w:p>
        </w:tc>
        <w:tc>
          <w:tcPr>
            <w:tcW w:w="2552" w:type="dxa"/>
            <w:noWrap w:val="0"/>
            <w:vAlign w:val="center"/>
          </w:tcPr>
          <w:p>
            <w:pPr>
              <w:adjustRightInd w:val="0"/>
              <w:snapToGrid w:val="0"/>
              <w:spacing w:line="300" w:lineRule="exact"/>
              <w:rPr>
                <w:rFonts w:hint="eastAsia" w:ascii="宋体" w:hAnsi="宋体" w:eastAsia="宋体" w:cs="宋体"/>
                <w:bCs/>
                <w:sz w:val="21"/>
                <w:szCs w:val="21"/>
              </w:rPr>
            </w:pPr>
            <w:r>
              <w:rPr>
                <w:rFonts w:hint="eastAsia" w:ascii="宋体" w:hAnsi="宋体" w:eastAsia="宋体" w:cs="宋体"/>
                <w:bCs/>
                <w:sz w:val="21"/>
                <w:szCs w:val="21"/>
              </w:rPr>
              <w:t>未建立安全生产责任制、安全管理制度及操作规程，或者不健全</w:t>
            </w:r>
          </w:p>
        </w:tc>
        <w:tc>
          <w:tcPr>
            <w:tcW w:w="2851" w:type="dxa"/>
            <w:vMerge w:val="continue"/>
            <w:tcBorders>
              <w:righ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c>
          <w:tcPr>
            <w:tcW w:w="2033" w:type="dxa"/>
            <w:vMerge w:val="continue"/>
            <w:tcBorders>
              <w:righ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1" w:type="dxa"/>
            <w:vMerge w:val="continue"/>
            <w:tcBorders>
              <w:lef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c>
          <w:tcPr>
            <w:tcW w:w="701" w:type="dxa"/>
            <w:noWrap w:val="0"/>
            <w:vAlign w:val="center"/>
          </w:tcPr>
          <w:p>
            <w:pPr>
              <w:adjustRightInd w:val="0"/>
              <w:snapToGrid w:val="0"/>
              <w:spacing w:line="300" w:lineRule="exact"/>
              <w:jc w:val="center"/>
              <w:rPr>
                <w:rFonts w:hint="eastAsia" w:ascii="宋体" w:hAnsi="宋体" w:eastAsia="宋体" w:cs="宋体"/>
                <w:bCs/>
                <w:sz w:val="21"/>
                <w:szCs w:val="21"/>
              </w:rPr>
            </w:pPr>
            <w:r>
              <w:rPr>
                <w:rFonts w:hint="eastAsia" w:ascii="宋体" w:hAnsi="宋体" w:eastAsia="宋体" w:cs="宋体"/>
                <w:bCs/>
                <w:sz w:val="21"/>
                <w:szCs w:val="21"/>
              </w:rPr>
              <w:t>3</w:t>
            </w:r>
          </w:p>
        </w:tc>
        <w:tc>
          <w:tcPr>
            <w:tcW w:w="2552" w:type="dxa"/>
            <w:noWrap w:val="0"/>
            <w:vAlign w:val="center"/>
          </w:tcPr>
          <w:p>
            <w:pPr>
              <w:adjustRightInd w:val="0"/>
              <w:snapToGrid w:val="0"/>
              <w:spacing w:line="300" w:lineRule="exact"/>
              <w:rPr>
                <w:rFonts w:hint="eastAsia" w:ascii="宋体" w:hAnsi="宋体" w:eastAsia="宋体" w:cs="宋体"/>
                <w:bCs/>
                <w:sz w:val="21"/>
                <w:szCs w:val="21"/>
              </w:rPr>
            </w:pPr>
            <w:r>
              <w:rPr>
                <w:rFonts w:hint="eastAsia" w:ascii="宋体" w:hAnsi="宋体" w:eastAsia="宋体" w:cs="宋体"/>
                <w:bCs/>
                <w:sz w:val="21"/>
                <w:szCs w:val="21"/>
              </w:rPr>
              <w:t>特种作业人员未取证上岗</w:t>
            </w:r>
          </w:p>
        </w:tc>
        <w:tc>
          <w:tcPr>
            <w:tcW w:w="2851" w:type="dxa"/>
            <w:vMerge w:val="continue"/>
            <w:tcBorders>
              <w:righ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c>
          <w:tcPr>
            <w:tcW w:w="2033" w:type="dxa"/>
            <w:vMerge w:val="continue"/>
            <w:tcBorders>
              <w:righ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91" w:type="dxa"/>
            <w:vMerge w:val="continue"/>
            <w:tcBorders>
              <w:lef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c>
          <w:tcPr>
            <w:tcW w:w="701" w:type="dxa"/>
            <w:noWrap w:val="0"/>
            <w:vAlign w:val="center"/>
          </w:tcPr>
          <w:p>
            <w:pPr>
              <w:adjustRightInd w:val="0"/>
              <w:snapToGrid w:val="0"/>
              <w:spacing w:line="300" w:lineRule="exact"/>
              <w:jc w:val="center"/>
              <w:rPr>
                <w:rFonts w:hint="eastAsia" w:ascii="宋体" w:hAnsi="宋体" w:eastAsia="宋体" w:cs="宋体"/>
                <w:bCs/>
                <w:sz w:val="21"/>
                <w:szCs w:val="21"/>
              </w:rPr>
            </w:pPr>
            <w:r>
              <w:rPr>
                <w:rFonts w:hint="eastAsia" w:ascii="宋体" w:hAnsi="宋体" w:eastAsia="宋体" w:cs="宋体"/>
                <w:bCs/>
                <w:sz w:val="21"/>
                <w:szCs w:val="21"/>
              </w:rPr>
              <w:t>4</w:t>
            </w:r>
          </w:p>
        </w:tc>
        <w:tc>
          <w:tcPr>
            <w:tcW w:w="2552" w:type="dxa"/>
            <w:noWrap w:val="0"/>
            <w:vAlign w:val="center"/>
          </w:tcPr>
          <w:p>
            <w:pPr>
              <w:spacing w:line="300" w:lineRule="exact"/>
              <w:rPr>
                <w:rFonts w:hint="eastAsia" w:ascii="宋体" w:hAnsi="宋体" w:eastAsia="宋体" w:cs="宋体"/>
                <w:bCs/>
                <w:sz w:val="21"/>
                <w:szCs w:val="21"/>
              </w:rPr>
            </w:pPr>
            <w:r>
              <w:rPr>
                <w:rFonts w:hint="eastAsia" w:ascii="宋体" w:hAnsi="宋体" w:eastAsia="宋体" w:cs="宋体"/>
                <w:bCs/>
                <w:sz w:val="21"/>
                <w:szCs w:val="21"/>
              </w:rPr>
              <w:t>职业安全健康管理不完善</w:t>
            </w:r>
          </w:p>
        </w:tc>
        <w:tc>
          <w:tcPr>
            <w:tcW w:w="2851" w:type="dxa"/>
            <w:vMerge w:val="continue"/>
            <w:tcBorders>
              <w:righ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c>
          <w:tcPr>
            <w:tcW w:w="2033" w:type="dxa"/>
            <w:vMerge w:val="continue"/>
            <w:tcBorders>
              <w:righ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691" w:type="dxa"/>
            <w:vMerge w:val="continue"/>
            <w:tcBorders>
              <w:lef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c>
          <w:tcPr>
            <w:tcW w:w="701" w:type="dxa"/>
            <w:noWrap w:val="0"/>
            <w:vAlign w:val="center"/>
          </w:tcPr>
          <w:p>
            <w:pPr>
              <w:adjustRightInd w:val="0"/>
              <w:snapToGrid w:val="0"/>
              <w:spacing w:line="300" w:lineRule="exact"/>
              <w:jc w:val="center"/>
              <w:rPr>
                <w:rFonts w:hint="eastAsia" w:ascii="宋体" w:hAnsi="宋体" w:eastAsia="宋体" w:cs="宋体"/>
                <w:bCs/>
                <w:sz w:val="21"/>
                <w:szCs w:val="21"/>
              </w:rPr>
            </w:pPr>
            <w:r>
              <w:rPr>
                <w:rFonts w:hint="eastAsia" w:ascii="宋体" w:hAnsi="宋体" w:eastAsia="宋体" w:cs="宋体"/>
                <w:bCs/>
                <w:sz w:val="21"/>
                <w:szCs w:val="21"/>
              </w:rPr>
              <w:t>5</w:t>
            </w:r>
          </w:p>
        </w:tc>
        <w:tc>
          <w:tcPr>
            <w:tcW w:w="2552" w:type="dxa"/>
            <w:noWrap w:val="0"/>
            <w:vAlign w:val="center"/>
          </w:tcPr>
          <w:p>
            <w:pPr>
              <w:spacing w:line="300" w:lineRule="exact"/>
              <w:rPr>
                <w:rFonts w:hint="eastAsia" w:ascii="宋体" w:hAnsi="宋体" w:eastAsia="宋体" w:cs="宋体"/>
                <w:bCs/>
                <w:sz w:val="21"/>
                <w:szCs w:val="21"/>
              </w:rPr>
            </w:pPr>
            <w:r>
              <w:rPr>
                <w:rFonts w:hint="eastAsia" w:ascii="宋体" w:hAnsi="宋体" w:eastAsia="宋体" w:cs="宋体"/>
                <w:bCs/>
                <w:sz w:val="21"/>
                <w:szCs w:val="21"/>
              </w:rPr>
              <w:t>职业安全健康投入不足</w:t>
            </w:r>
          </w:p>
        </w:tc>
        <w:tc>
          <w:tcPr>
            <w:tcW w:w="2851" w:type="dxa"/>
            <w:vMerge w:val="continue"/>
            <w:tcBorders>
              <w:righ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c>
          <w:tcPr>
            <w:tcW w:w="2033" w:type="dxa"/>
            <w:vMerge w:val="continue"/>
            <w:tcBorders>
              <w:righ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6" w:hRule="atLeast"/>
          <w:jc w:val="center"/>
        </w:trPr>
        <w:tc>
          <w:tcPr>
            <w:tcW w:w="691" w:type="dxa"/>
            <w:vMerge w:val="continue"/>
            <w:tcBorders>
              <w:lef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c>
          <w:tcPr>
            <w:tcW w:w="701" w:type="dxa"/>
            <w:noWrap w:val="0"/>
            <w:vAlign w:val="center"/>
          </w:tcPr>
          <w:p>
            <w:pPr>
              <w:adjustRightInd w:val="0"/>
              <w:snapToGrid w:val="0"/>
              <w:spacing w:line="300" w:lineRule="exact"/>
              <w:jc w:val="center"/>
              <w:rPr>
                <w:rFonts w:hint="eastAsia" w:ascii="宋体" w:hAnsi="宋体" w:eastAsia="宋体" w:cs="宋体"/>
                <w:bCs/>
                <w:sz w:val="21"/>
                <w:szCs w:val="21"/>
              </w:rPr>
            </w:pPr>
            <w:r>
              <w:rPr>
                <w:rFonts w:hint="eastAsia" w:ascii="宋体" w:hAnsi="宋体" w:eastAsia="宋体" w:cs="宋体"/>
                <w:bCs/>
                <w:sz w:val="21"/>
                <w:szCs w:val="21"/>
              </w:rPr>
              <w:t>6</w:t>
            </w:r>
          </w:p>
        </w:tc>
        <w:tc>
          <w:tcPr>
            <w:tcW w:w="2552" w:type="dxa"/>
            <w:noWrap w:val="0"/>
            <w:vAlign w:val="center"/>
          </w:tcPr>
          <w:p>
            <w:pPr>
              <w:adjustRightInd w:val="0"/>
              <w:snapToGrid w:val="0"/>
              <w:spacing w:line="300" w:lineRule="exact"/>
              <w:rPr>
                <w:rFonts w:hint="eastAsia" w:ascii="宋体" w:hAnsi="宋体" w:eastAsia="宋体" w:cs="宋体"/>
                <w:bCs/>
                <w:sz w:val="21"/>
                <w:szCs w:val="21"/>
              </w:rPr>
            </w:pPr>
            <w:r>
              <w:rPr>
                <w:rFonts w:hint="eastAsia" w:ascii="宋体" w:hAnsi="宋体" w:eastAsia="宋体" w:cs="宋体"/>
                <w:bCs/>
                <w:sz w:val="21"/>
                <w:szCs w:val="21"/>
              </w:rPr>
              <w:t>违章指挥、违章操作</w:t>
            </w:r>
          </w:p>
        </w:tc>
        <w:tc>
          <w:tcPr>
            <w:tcW w:w="2851" w:type="dxa"/>
            <w:vMerge w:val="continue"/>
            <w:tcBorders>
              <w:righ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c>
          <w:tcPr>
            <w:tcW w:w="2033" w:type="dxa"/>
            <w:vMerge w:val="continue"/>
            <w:tcBorders>
              <w:right w:val="single" w:color="auto" w:sz="4" w:space="0"/>
            </w:tcBorders>
            <w:noWrap w:val="0"/>
            <w:vAlign w:val="center"/>
          </w:tcPr>
          <w:p>
            <w:pPr>
              <w:adjustRightInd w:val="0"/>
              <w:snapToGrid w:val="0"/>
              <w:spacing w:line="300" w:lineRule="exact"/>
              <w:rPr>
                <w:rFonts w:hint="eastAsia" w:ascii="宋体" w:hAnsi="宋体" w:eastAsia="宋体" w:cs="宋体"/>
                <w:bCs/>
                <w:sz w:val="21"/>
                <w:szCs w:val="21"/>
              </w:rPr>
            </w:pPr>
          </w:p>
        </w:tc>
      </w:tr>
    </w:tbl>
    <w:p>
      <w:pPr>
        <w:wordWrap/>
        <w:topLinePunct w:val="0"/>
        <w:bidi w:val="0"/>
        <w:spacing w:line="500" w:lineRule="exact"/>
        <w:ind w:firstLine="198"/>
        <w:jc w:val="both"/>
        <w:textAlignment w:val="auto"/>
        <w:outlineLvl w:val="9"/>
        <w:rPr>
          <w:rFonts w:ascii="宋体" w:hAnsi="宋体"/>
          <w:b/>
          <w:color w:val="auto"/>
          <w:sz w:val="24"/>
        </w:rPr>
      </w:pPr>
    </w:p>
    <w:p>
      <w:pPr>
        <w:wordWrap/>
        <w:topLinePunct w:val="0"/>
        <w:bidi w:val="0"/>
        <w:spacing w:line="500" w:lineRule="exact"/>
        <w:ind w:firstLine="198"/>
        <w:jc w:val="center"/>
        <w:textAlignment w:val="auto"/>
        <w:outlineLvl w:val="9"/>
        <w:rPr>
          <w:rFonts w:ascii="宋体" w:hAnsi="宋体"/>
          <w:b/>
          <w:color w:val="auto"/>
          <w:sz w:val="24"/>
        </w:rPr>
      </w:pPr>
    </w:p>
    <w:p>
      <w:pPr>
        <w:wordWrap/>
        <w:topLinePunct w:val="0"/>
        <w:bidi w:val="0"/>
        <w:spacing w:line="500" w:lineRule="exact"/>
        <w:ind w:firstLine="198"/>
        <w:jc w:val="center"/>
        <w:textAlignment w:val="auto"/>
        <w:outlineLvl w:val="9"/>
        <w:rPr>
          <w:rFonts w:ascii="宋体" w:hAnsi="宋体"/>
          <w:b/>
          <w:color w:val="auto"/>
          <w:sz w:val="24"/>
        </w:rPr>
      </w:pPr>
    </w:p>
    <w:p>
      <w:pPr>
        <w:pStyle w:val="4"/>
        <w:bidi w:val="0"/>
        <w:rPr>
          <w:lang w:eastAsia="zh-CN"/>
        </w:rPr>
      </w:pPr>
      <w:bookmarkStart w:id="653" w:name="_Toc13662"/>
      <w:bookmarkStart w:id="654" w:name="_Toc7359"/>
      <w:bookmarkStart w:id="655" w:name="_Toc26933"/>
      <w:bookmarkStart w:id="656" w:name="_Toc4313"/>
      <w:bookmarkStart w:id="657" w:name="_Toc1123"/>
      <w:r>
        <w:rPr>
          <w:rFonts w:hint="eastAsia"/>
          <w:lang w:eastAsia="zh-CN"/>
        </w:rPr>
        <w:t>6.2项目应重点防范的重大危险、有害因素</w:t>
      </w:r>
      <w:bookmarkEnd w:id="653"/>
      <w:bookmarkEnd w:id="654"/>
      <w:bookmarkEnd w:id="655"/>
      <w:bookmarkEnd w:id="656"/>
      <w:bookmarkEnd w:id="657"/>
    </w:p>
    <w:p>
      <w:pPr>
        <w:wordWrap/>
        <w:topLinePunct w:val="0"/>
        <w:bidi w:val="0"/>
        <w:spacing w:line="500" w:lineRule="exact"/>
        <w:ind w:firstLine="560" w:firstLineChars="200"/>
        <w:textAlignment w:val="auto"/>
        <w:rPr>
          <w:rFonts w:hint="eastAsia" w:ascii="宋体" w:hAnsi="宋体" w:cs="宋体"/>
          <w:color w:val="auto"/>
          <w:sz w:val="28"/>
          <w:szCs w:val="28"/>
        </w:rPr>
      </w:pPr>
      <w:bookmarkStart w:id="658" w:name="_Toc1834"/>
      <w:r>
        <w:rPr>
          <w:rFonts w:hint="eastAsia" w:ascii="宋体" w:hAnsi="宋体" w:eastAsia="宋体" w:cs="Times New Roman"/>
          <w:color w:val="auto"/>
          <w:sz w:val="28"/>
          <w:szCs w:val="28"/>
          <w:lang w:val="zh-CN" w:eastAsia="zh-CN"/>
        </w:rPr>
        <w:t>本项目应重点防范的危险、有害因素为滑坡、高处坠落、机械伤害、物体打击、车辆伤害、触电、</w:t>
      </w:r>
      <w:r>
        <w:rPr>
          <w:rFonts w:hint="eastAsia" w:ascii="宋体" w:hAnsi="宋体" w:eastAsia="宋体" w:cs="Times New Roman"/>
          <w:color w:val="auto"/>
          <w:sz w:val="28"/>
          <w:szCs w:val="28"/>
          <w:lang w:val="en-US" w:eastAsia="zh-CN"/>
        </w:rPr>
        <w:t>淹溺、</w:t>
      </w:r>
      <w:r>
        <w:rPr>
          <w:rFonts w:hint="eastAsia" w:ascii="宋体" w:hAnsi="宋体" w:eastAsia="宋体" w:cs="Times New Roman"/>
          <w:color w:val="auto"/>
          <w:sz w:val="28"/>
          <w:szCs w:val="28"/>
          <w:lang w:val="zh-CN" w:eastAsia="zh-CN"/>
        </w:rPr>
        <w:t>粉尘危害、噪声危害等。</w:t>
      </w:r>
      <w:bookmarkEnd w:id="658"/>
      <w:bookmarkStart w:id="659" w:name="_Toc530"/>
      <w:bookmarkStart w:id="660" w:name="_Toc14364"/>
      <w:bookmarkStart w:id="661" w:name="_Toc28643"/>
      <w:bookmarkStart w:id="662" w:name="_Toc365552910"/>
      <w:bookmarkStart w:id="663" w:name="_Toc343500450"/>
      <w:bookmarkStart w:id="664" w:name="_Toc26821"/>
      <w:bookmarkStart w:id="665" w:name="_Toc441841801"/>
      <w:bookmarkStart w:id="666" w:name="_Toc362956547"/>
    </w:p>
    <w:p>
      <w:pPr>
        <w:pStyle w:val="4"/>
        <w:bidi w:val="0"/>
        <w:rPr>
          <w:lang w:eastAsia="zh-CN"/>
        </w:rPr>
      </w:pPr>
      <w:bookmarkStart w:id="667" w:name="_Toc5407"/>
      <w:bookmarkStart w:id="668" w:name="_Toc25374"/>
      <w:r>
        <w:rPr>
          <w:rFonts w:hint="eastAsia"/>
          <w:lang w:eastAsia="zh-CN"/>
        </w:rPr>
        <w:t>6.3项目应重视的安全对策措施建议</w:t>
      </w:r>
      <w:bookmarkEnd w:id="659"/>
      <w:bookmarkEnd w:id="660"/>
      <w:bookmarkEnd w:id="661"/>
      <w:bookmarkEnd w:id="662"/>
      <w:bookmarkEnd w:id="663"/>
      <w:bookmarkEnd w:id="664"/>
      <w:bookmarkEnd w:id="665"/>
      <w:bookmarkEnd w:id="666"/>
      <w:bookmarkEnd w:id="667"/>
      <w:bookmarkEnd w:id="668"/>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szCs w:val="28"/>
        </w:rPr>
      </w:pPr>
      <w:r>
        <w:rPr>
          <w:rFonts w:hint="eastAsia" w:ascii="宋体" w:hAnsi="宋体" w:eastAsia="宋体" w:cs="宋体"/>
          <w:spacing w:val="0"/>
          <w:sz w:val="28"/>
          <w:szCs w:val="28"/>
        </w:rPr>
        <w:t>1.</w:t>
      </w:r>
      <w:r>
        <w:rPr>
          <w:rFonts w:hint="eastAsia" w:ascii="宋体" w:hAnsi="宋体" w:eastAsia="宋体" w:cs="宋体"/>
          <w:spacing w:val="0"/>
          <w:sz w:val="28"/>
          <w:szCs w:val="28"/>
          <w:lang w:val="en-US" w:eastAsia="zh-CN"/>
        </w:rPr>
        <w:t>矿区南面约166m为丰裕闸水库（灌溉用水）和一家养殖场</w:t>
      </w:r>
      <w:r>
        <w:rPr>
          <w:rFonts w:hint="eastAsia" w:ascii="宋体" w:hAnsi="宋体" w:eastAsia="宋体" w:cs="宋体"/>
          <w:spacing w:val="0"/>
          <w:sz w:val="28"/>
          <w:szCs w:val="28"/>
        </w:rPr>
        <w:t>，矿山应与</w:t>
      </w:r>
      <w:r>
        <w:rPr>
          <w:rFonts w:hint="eastAsia" w:ascii="宋体" w:hAnsi="宋体" w:eastAsia="宋体" w:cs="宋体"/>
          <w:spacing w:val="0"/>
          <w:sz w:val="28"/>
          <w:szCs w:val="28"/>
          <w:lang w:val="en-US" w:eastAsia="zh-CN"/>
        </w:rPr>
        <w:t>该养殖场</w:t>
      </w:r>
      <w:r>
        <w:rPr>
          <w:rFonts w:hint="eastAsia" w:ascii="宋体" w:hAnsi="宋体" w:eastAsia="宋体" w:cs="宋体"/>
          <w:spacing w:val="0"/>
          <w:sz w:val="28"/>
          <w:szCs w:val="28"/>
        </w:rPr>
        <w:t>签订的安全</w:t>
      </w:r>
      <w:r>
        <w:rPr>
          <w:rFonts w:hint="eastAsia" w:ascii="宋体" w:hAnsi="宋体" w:eastAsia="宋体" w:cs="宋体"/>
          <w:spacing w:val="0"/>
          <w:sz w:val="28"/>
          <w:szCs w:val="28"/>
          <w:lang w:val="en-US" w:eastAsia="zh-CN"/>
        </w:rPr>
        <w:t>生产管理</w:t>
      </w:r>
      <w:r>
        <w:rPr>
          <w:rFonts w:hint="eastAsia" w:ascii="宋体" w:hAnsi="宋体" w:eastAsia="宋体" w:cs="宋体"/>
          <w:spacing w:val="0"/>
          <w:sz w:val="28"/>
          <w:szCs w:val="28"/>
        </w:rPr>
        <w:t>协议</w:t>
      </w:r>
      <w:r>
        <w:rPr>
          <w:rFonts w:hint="eastAsia" w:ascii="宋体" w:hAnsi="宋体" w:eastAsia="宋体" w:cs="宋体"/>
          <w:spacing w:val="0"/>
          <w:sz w:val="28"/>
          <w:szCs w:val="28"/>
          <w:lang w:eastAsia="zh-CN"/>
        </w:rPr>
        <w:t>，</w:t>
      </w:r>
      <w:r>
        <w:rPr>
          <w:rFonts w:hint="eastAsia" w:ascii="宋体" w:hAnsi="宋体" w:eastAsia="宋体" w:cs="宋体"/>
          <w:spacing w:val="0"/>
          <w:sz w:val="28"/>
        </w:rPr>
        <w:t>且矿山开采过程中做好相应安全防范措施</w:t>
      </w:r>
      <w:r>
        <w:rPr>
          <w:rFonts w:hint="eastAsia" w:ascii="宋体" w:hAnsi="宋体" w:eastAsia="宋体" w:cs="宋体"/>
          <w:spacing w:val="0"/>
          <w:sz w:val="28"/>
          <w:lang w:val="en-US" w:eastAsia="zh-CN"/>
        </w:rPr>
        <w:t>，并加强采区周边巡查和监测</w:t>
      </w:r>
      <w:r>
        <w:rPr>
          <w:rFonts w:hint="eastAsia" w:ascii="宋体" w:hAnsi="宋体" w:eastAsia="宋体" w:cs="宋体"/>
          <w:spacing w:val="0"/>
          <w:sz w:val="28"/>
          <w:szCs w:val="28"/>
        </w:rPr>
        <w:t>。</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szCs w:val="28"/>
        </w:rPr>
      </w:pPr>
      <w:r>
        <w:rPr>
          <w:rFonts w:hint="eastAsia" w:ascii="宋体" w:hAnsi="宋体" w:eastAsia="宋体" w:cs="宋体"/>
          <w:spacing w:val="0"/>
          <w:sz w:val="28"/>
          <w:szCs w:val="28"/>
        </w:rPr>
        <w:t>2.</w:t>
      </w:r>
      <w:r>
        <w:rPr>
          <w:rFonts w:hint="eastAsia" w:ascii="宋体" w:hAnsi="宋体" w:eastAsia="宋体" w:cs="宋体"/>
          <w:spacing w:val="0"/>
          <w:sz w:val="28"/>
          <w:szCs w:val="28"/>
          <w:lang w:val="en-US" w:eastAsia="zh-CN"/>
        </w:rPr>
        <w:t>按照设计要求采取由上至下台阶式开采，</w:t>
      </w:r>
      <w:r>
        <w:rPr>
          <w:rFonts w:hint="eastAsia" w:ascii="宋体" w:hAnsi="宋体" w:eastAsia="宋体" w:cs="宋体"/>
          <w:spacing w:val="0"/>
          <w:sz w:val="28"/>
          <w:szCs w:val="28"/>
        </w:rPr>
        <w:t>严格控制边坡参数，台阶高度、工作台阶坡面角、工作平台宽度应符合设计要求。</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szCs w:val="28"/>
        </w:rPr>
      </w:pPr>
      <w:r>
        <w:rPr>
          <w:rFonts w:hint="eastAsia" w:ascii="宋体" w:hAnsi="宋体" w:eastAsia="宋体" w:cs="宋体"/>
          <w:spacing w:val="0"/>
          <w:sz w:val="28"/>
          <w:szCs w:val="28"/>
        </w:rPr>
        <w:t>3.</w:t>
      </w:r>
      <w:r>
        <w:rPr>
          <w:rFonts w:hint="eastAsia" w:ascii="宋体" w:hAnsi="宋体" w:eastAsia="宋体" w:cs="宋体"/>
          <w:spacing w:val="0"/>
          <w:sz w:val="28"/>
          <w:szCs w:val="28"/>
          <w:lang w:val="en-US" w:eastAsia="zh-CN"/>
        </w:rPr>
        <w:t>按照设计要求在采场清扫平台设置排水沟，完善矿山防排水系统的设置，避免雨水对采场边坡的冲刷破坏造成滑坡、边坡塌方等危害</w:t>
      </w:r>
      <w:r>
        <w:rPr>
          <w:rFonts w:hint="eastAsia" w:ascii="宋体" w:hAnsi="宋体" w:eastAsia="宋体" w:cs="宋体"/>
          <w:spacing w:val="0"/>
          <w:sz w:val="28"/>
          <w:szCs w:val="28"/>
        </w:rPr>
        <w:t>。</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szCs w:val="28"/>
          <w:lang w:val="en-US" w:eastAsia="zh-CN"/>
        </w:rPr>
      </w:pPr>
      <w:r>
        <w:rPr>
          <w:rFonts w:hint="eastAsia" w:ascii="宋体" w:hAnsi="宋体" w:eastAsia="宋体" w:cs="宋体"/>
          <w:spacing w:val="0"/>
          <w:sz w:val="28"/>
          <w:szCs w:val="28"/>
        </w:rPr>
        <w:t>4.</w:t>
      </w:r>
      <w:r>
        <w:rPr>
          <w:rFonts w:hint="eastAsia" w:ascii="宋体" w:hAnsi="宋体" w:eastAsia="宋体" w:cs="宋体"/>
          <w:spacing w:val="0"/>
          <w:sz w:val="28"/>
          <w:szCs w:val="28"/>
          <w:lang w:val="en-US" w:eastAsia="zh-CN"/>
        </w:rPr>
        <w:t>加强企业危险源点及重大隐患的管理与监控，及时化解生产风险；加强安全检查工作的力度，做好督促工作。</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szCs w:val="28"/>
        </w:rPr>
      </w:pPr>
      <w:r>
        <w:rPr>
          <w:rFonts w:hint="eastAsia" w:ascii="宋体" w:hAnsi="宋体" w:eastAsia="宋体" w:cs="宋体"/>
          <w:spacing w:val="0"/>
          <w:sz w:val="28"/>
          <w:szCs w:val="28"/>
          <w:lang w:val="en-US" w:eastAsia="zh-CN"/>
        </w:rPr>
        <w:t>5.完善相关危险区域安全警示标志，加强矿山安全标志管理，定期进行检查，并及时修整或更换，安全标志设置应醒目清晰</w:t>
      </w:r>
      <w:r>
        <w:rPr>
          <w:rFonts w:hint="eastAsia" w:ascii="宋体" w:hAnsi="宋体" w:eastAsia="宋体" w:cs="宋体"/>
          <w:spacing w:val="0"/>
          <w:sz w:val="28"/>
          <w:szCs w:val="28"/>
        </w:rPr>
        <w:t>。</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szCs w:val="28"/>
        </w:rPr>
      </w:pPr>
      <w:r>
        <w:rPr>
          <w:rFonts w:hint="eastAsia" w:ascii="宋体" w:hAnsi="宋体" w:eastAsia="宋体" w:cs="宋体"/>
          <w:spacing w:val="0"/>
          <w:sz w:val="28"/>
          <w:szCs w:val="28"/>
          <w:lang w:val="en-US" w:eastAsia="zh-CN"/>
        </w:rPr>
        <w:t>6</w:t>
      </w:r>
      <w:r>
        <w:rPr>
          <w:rFonts w:hint="eastAsia" w:ascii="宋体" w:hAnsi="宋体" w:eastAsia="宋体" w:cs="宋体"/>
          <w:spacing w:val="0"/>
          <w:sz w:val="28"/>
          <w:szCs w:val="28"/>
        </w:rPr>
        <w:t>.</w:t>
      </w:r>
      <w:r>
        <w:rPr>
          <w:rFonts w:hint="eastAsia" w:ascii="宋体" w:hAnsi="宋体" w:eastAsia="宋体" w:cs="宋体"/>
          <w:spacing w:val="0"/>
          <w:sz w:val="28"/>
          <w:szCs w:val="28"/>
          <w:lang w:eastAsia="zh-CN"/>
        </w:rPr>
        <w:t>建立边坡安全管理制度，加强边坡检测及不稳定边坡的监测</w:t>
      </w:r>
      <w:r>
        <w:rPr>
          <w:rFonts w:hint="eastAsia" w:ascii="宋体" w:hAnsi="宋体" w:eastAsia="宋体" w:cs="宋体"/>
          <w:spacing w:val="0"/>
          <w:sz w:val="28"/>
          <w:szCs w:val="28"/>
        </w:rPr>
        <w:t>。</w:t>
      </w:r>
    </w:p>
    <w:p>
      <w:pPr>
        <w:pStyle w:val="15"/>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eastAsia" w:ascii="宋体" w:hAnsi="宋体" w:eastAsia="宋体" w:cs="宋体"/>
          <w:spacing w:val="0"/>
          <w:sz w:val="28"/>
          <w:szCs w:val="28"/>
          <w:lang w:val="en-US" w:eastAsia="zh-CN"/>
        </w:rPr>
      </w:pPr>
      <w:r>
        <w:rPr>
          <w:rFonts w:hint="eastAsia" w:ascii="宋体" w:hAnsi="宋体" w:eastAsia="宋体" w:cs="宋体"/>
          <w:spacing w:val="0"/>
          <w:sz w:val="28"/>
          <w:szCs w:val="28"/>
          <w:lang w:val="en-US" w:eastAsia="zh-CN"/>
        </w:rPr>
        <w:t>7.矿山应按照《安全生产法》及《云南省安全生产条例》的规定建立健全矿山安全管理台帐，并做好相关记录内容。</w:t>
      </w:r>
    </w:p>
    <w:p>
      <w:pPr>
        <w:keepNext w:val="0"/>
        <w:keepLines w:val="0"/>
        <w:pageBreakBefore w:val="0"/>
        <w:widowControl w:val="0"/>
        <w:kinsoku/>
        <w:wordWrap/>
        <w:overflowPunct/>
        <w:topLinePunct w:val="0"/>
        <w:autoSpaceDE/>
        <w:autoSpaceDN/>
        <w:bidi w:val="0"/>
        <w:adjustRightInd/>
        <w:snapToGrid/>
        <w:spacing w:line="500" w:lineRule="exact"/>
        <w:ind w:left="0" w:leftChars="0" w:firstLine="560" w:firstLineChars="200"/>
        <w:textAlignment w:val="auto"/>
        <w:rPr>
          <w:rFonts w:hint="eastAsia" w:ascii="宋体" w:hAnsi="宋体" w:eastAsia="宋体" w:cs="Times New Roman"/>
          <w:color w:val="auto"/>
          <w:sz w:val="28"/>
          <w:szCs w:val="28"/>
          <w:lang w:val="zh-CN" w:eastAsia="zh-CN"/>
        </w:rPr>
      </w:pPr>
      <w:r>
        <w:rPr>
          <w:rFonts w:hint="eastAsia" w:ascii="宋体" w:hAnsi="宋体" w:eastAsia="宋体" w:cs="宋体"/>
          <w:spacing w:val="0"/>
          <w:sz w:val="28"/>
          <w:szCs w:val="28"/>
          <w:lang w:val="en-US" w:eastAsia="zh-CN"/>
        </w:rPr>
        <w:t>8.矿山应当配备具有采矿、地质、机电等矿山相关专业中专及以上学历或者中级及以上技术职称的专职技术人员，每个专业至少配备1人。</w:t>
      </w:r>
    </w:p>
    <w:p>
      <w:pPr>
        <w:pStyle w:val="4"/>
        <w:bidi w:val="0"/>
        <w:rPr>
          <w:lang w:eastAsia="zh-CN"/>
        </w:rPr>
      </w:pPr>
      <w:bookmarkStart w:id="669" w:name="_Toc3635"/>
      <w:bookmarkStart w:id="670" w:name="_Toc3478"/>
      <w:r>
        <w:rPr>
          <w:rFonts w:hint="eastAsia"/>
          <w:lang w:eastAsia="zh-CN"/>
        </w:rPr>
        <w:t>6.4安全现状评价结论</w:t>
      </w:r>
      <w:bookmarkEnd w:id="669"/>
      <w:bookmarkEnd w:id="670"/>
    </w:p>
    <w:p>
      <w:pPr>
        <w:wordWrap/>
        <w:topLinePunct w:val="0"/>
        <w:bidi w:val="0"/>
        <w:spacing w:line="500" w:lineRule="exact"/>
        <w:ind w:firstLine="560" w:firstLineChars="200"/>
        <w:textAlignment w:val="auto"/>
        <w:rPr>
          <w:rFonts w:hint="eastAsia" w:ascii="宋体" w:hAnsi="宋体" w:eastAsia="宋体" w:cs="Times New Roman"/>
          <w:color w:val="auto"/>
          <w:sz w:val="28"/>
          <w:szCs w:val="28"/>
          <w:lang w:val="zh-CN" w:eastAsia="zh-CN"/>
        </w:rPr>
      </w:pPr>
      <w:r>
        <w:rPr>
          <w:rFonts w:hint="eastAsia" w:ascii="宋体" w:hAnsi="宋体" w:eastAsia="宋体" w:cs="Times New Roman"/>
          <w:color w:val="auto"/>
          <w:sz w:val="28"/>
          <w:szCs w:val="28"/>
          <w:lang w:val="zh-CN" w:eastAsia="zh-CN"/>
        </w:rPr>
        <w:t>评价组根据对</w:t>
      </w:r>
      <w:r>
        <w:rPr>
          <w:rFonts w:hint="eastAsia" w:ascii="宋体" w:hAnsi="宋体" w:cs="Times New Roman"/>
          <w:color w:val="auto"/>
          <w:sz w:val="28"/>
          <w:szCs w:val="28"/>
          <w:lang w:val="zh-CN" w:eastAsia="zh-CN"/>
        </w:rPr>
        <w:t>牟定共和西山寺砂场</w:t>
      </w:r>
      <w:r>
        <w:rPr>
          <w:rFonts w:hint="eastAsia" w:ascii="宋体" w:hAnsi="宋体" w:eastAsia="宋体" w:cs="Times New Roman"/>
          <w:color w:val="auto"/>
          <w:sz w:val="28"/>
          <w:szCs w:val="28"/>
          <w:lang w:val="zh-CN" w:eastAsia="zh-CN"/>
        </w:rPr>
        <w:t>现场踏勘和相关资料的分析，完成了评价项目主要危险有害因素的辨识和分析，对评价项目进行了较为科学合理的单元划分，并按照所选择的评价方法，对评价项目存在的危险有害因素进行了全面的定性评价，提出了合理可行的安全对策措施。</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lang w:val="zh-CN" w:eastAsia="zh-CN"/>
        </w:rPr>
      </w:pPr>
      <w:r>
        <w:rPr>
          <w:rFonts w:hint="eastAsia" w:ascii="宋体" w:hAnsi="宋体" w:eastAsia="宋体" w:cs="Times New Roman"/>
          <w:color w:val="auto"/>
          <w:sz w:val="28"/>
          <w:szCs w:val="28"/>
          <w:lang w:val="zh-CN" w:eastAsia="zh-CN"/>
        </w:rPr>
        <w:t>按照评价要求和各单元的分析评价结论，现对</w:t>
      </w:r>
      <w:r>
        <w:rPr>
          <w:rFonts w:hint="eastAsia" w:ascii="宋体" w:hAnsi="宋体" w:cs="Times New Roman"/>
          <w:color w:val="auto"/>
          <w:sz w:val="28"/>
          <w:szCs w:val="28"/>
          <w:lang w:val="zh-CN" w:eastAsia="zh-CN"/>
        </w:rPr>
        <w:t>牟定共和西山寺砂场</w:t>
      </w:r>
      <w:r>
        <w:rPr>
          <w:rFonts w:hint="eastAsia" w:ascii="宋体" w:hAnsi="宋体" w:eastAsia="宋体" w:cs="Times New Roman"/>
          <w:color w:val="auto"/>
          <w:sz w:val="28"/>
          <w:szCs w:val="28"/>
          <w:lang w:val="zh-CN" w:eastAsia="zh-CN"/>
        </w:rPr>
        <w:t>安全现状评价项目形成以下安全现状评价意见：</w:t>
      </w:r>
    </w:p>
    <w:p>
      <w:pPr>
        <w:wordWrap/>
        <w:topLinePunct w:val="0"/>
        <w:bidi w:val="0"/>
        <w:spacing w:line="500" w:lineRule="exact"/>
        <w:ind w:firstLine="560" w:firstLineChars="200"/>
        <w:textAlignment w:val="auto"/>
        <w:outlineLvl w:val="9"/>
        <w:rPr>
          <w:rFonts w:hint="eastAsia" w:ascii="宋体" w:hAnsi="宋体" w:eastAsia="宋体" w:cs="Times New Roman"/>
          <w:color w:val="auto"/>
          <w:sz w:val="28"/>
          <w:szCs w:val="28"/>
          <w:lang w:val="zh-CN" w:eastAsia="zh-CN"/>
        </w:rPr>
      </w:pPr>
      <w:r>
        <w:rPr>
          <w:rFonts w:hint="eastAsia" w:ascii="宋体" w:hAnsi="宋体" w:eastAsia="宋体" w:cs="Times New Roman"/>
          <w:color w:val="auto"/>
          <w:sz w:val="28"/>
          <w:szCs w:val="28"/>
          <w:lang w:val="zh-CN" w:eastAsia="zh-CN"/>
        </w:rPr>
        <w:t>1、企业证照齐全、合法、有效。</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lang w:val="zh-CN" w:eastAsia="zh-CN"/>
        </w:rPr>
      </w:pPr>
      <w:r>
        <w:rPr>
          <w:rFonts w:hint="eastAsia" w:ascii="宋体" w:hAnsi="宋体" w:eastAsia="宋体" w:cs="Times New Roman"/>
          <w:color w:val="auto"/>
          <w:sz w:val="28"/>
          <w:szCs w:val="28"/>
          <w:lang w:val="en-US" w:eastAsia="zh-CN"/>
        </w:rPr>
        <w:t>2</w:t>
      </w:r>
      <w:r>
        <w:rPr>
          <w:rFonts w:hint="eastAsia" w:ascii="宋体" w:hAnsi="宋体" w:eastAsia="宋体" w:cs="Times New Roman"/>
          <w:color w:val="auto"/>
          <w:sz w:val="28"/>
          <w:szCs w:val="28"/>
          <w:lang w:val="zh-CN" w:eastAsia="zh-CN"/>
        </w:rPr>
        <w:t>、作业场所安全技术措施设置基本符合国家安全生产法规、标准和规范的要求。</w:t>
      </w:r>
    </w:p>
    <w:p>
      <w:pPr>
        <w:wordWrap/>
        <w:topLinePunct w:val="0"/>
        <w:bidi w:val="0"/>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Times New Roman"/>
          <w:color w:val="auto"/>
          <w:sz w:val="28"/>
          <w:szCs w:val="28"/>
          <w:lang w:val="en-US" w:eastAsia="zh-CN"/>
        </w:rPr>
        <w:t>3</w:t>
      </w:r>
      <w:r>
        <w:rPr>
          <w:rFonts w:hint="eastAsia" w:ascii="宋体" w:hAnsi="宋体" w:eastAsia="宋体" w:cs="Times New Roman"/>
          <w:color w:val="auto"/>
          <w:sz w:val="28"/>
          <w:szCs w:val="28"/>
          <w:lang w:val="zh-CN" w:eastAsia="zh-CN"/>
        </w:rPr>
        <w:t>、项目中虽然存在边坡坍塌、滑坡、物体打击、高处坠落、机械伤害、车辆伤害、火灾、触电、</w:t>
      </w:r>
      <w:r>
        <w:rPr>
          <w:rFonts w:hint="eastAsia" w:ascii="宋体" w:hAnsi="宋体" w:eastAsia="宋体" w:cs="Times New Roman"/>
          <w:color w:val="auto"/>
          <w:sz w:val="28"/>
          <w:szCs w:val="28"/>
          <w:lang w:val="en-US" w:eastAsia="zh-CN"/>
        </w:rPr>
        <w:t>淹溺、</w:t>
      </w:r>
      <w:r>
        <w:rPr>
          <w:rFonts w:hint="eastAsia" w:ascii="宋体" w:hAnsi="宋体" w:eastAsia="宋体" w:cs="Times New Roman"/>
          <w:color w:val="auto"/>
          <w:sz w:val="28"/>
          <w:szCs w:val="28"/>
          <w:lang w:val="zh-CN" w:eastAsia="zh-CN"/>
        </w:rPr>
        <w:t>粉尘危害、噪声等危险、有害因素，但在下一步生产过程中，企业应重点落实本次现状评价报告提出的安全对策措施，切实针对项目中危险有害因素对设计和生产设施进一步优化和完善，认真落实国家相关安全生产的法规、标准、规程、规范，加强事故预防和安全管理工作，即可为本项目奠定本质的安全生产条件，从而满足本项目安全生产的要求，其项目风险是可以控制和接受的。</w:t>
      </w:r>
    </w:p>
    <w:p>
      <w:pPr>
        <w:wordWrap/>
        <w:topLinePunct w:val="0"/>
        <w:bidi w:val="0"/>
        <w:spacing w:line="480" w:lineRule="exact"/>
        <w:ind w:firstLine="560" w:firstLineChars="200"/>
        <w:textAlignment w:val="auto"/>
        <w:rPr>
          <w:rFonts w:ascii="宋体" w:hAnsi="宋体" w:cs="宋体"/>
          <w:b/>
          <w:color w:val="auto"/>
          <w:sz w:val="28"/>
          <w:szCs w:val="28"/>
        </w:rPr>
      </w:pPr>
      <w:r>
        <w:rPr>
          <w:rFonts w:hint="eastAsia" w:ascii="宋体" w:hAnsi="宋体" w:cs="宋体"/>
          <w:b/>
          <w:color w:val="auto"/>
          <w:sz w:val="28"/>
          <w:szCs w:val="28"/>
        </w:rPr>
        <w:t>评价结论：</w:t>
      </w:r>
      <w:r>
        <w:rPr>
          <w:rFonts w:hint="eastAsia" w:ascii="宋体" w:hAnsi="宋体" w:cs="宋体"/>
          <w:b/>
          <w:color w:val="auto"/>
          <w:sz w:val="28"/>
          <w:szCs w:val="28"/>
          <w:lang w:val="en-US" w:eastAsia="zh-CN"/>
        </w:rPr>
        <w:t>牟定共和西山寺砂场</w:t>
      </w:r>
      <w:r>
        <w:rPr>
          <w:rFonts w:hint="eastAsia" w:ascii="宋体" w:hAnsi="宋体" w:cs="宋体"/>
          <w:b/>
          <w:color w:val="auto"/>
          <w:sz w:val="28"/>
          <w:szCs w:val="28"/>
        </w:rPr>
        <w:t>安全现状符合国家有关安全生产的法律、法规和标准及设计要求，矿山现状具备安全生产条件。</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lang w:val="zh-CN" w:eastAsia="zh-CN"/>
        </w:rPr>
      </w:pPr>
      <w:r>
        <w:rPr>
          <w:rFonts w:hint="eastAsia" w:ascii="宋体" w:hAnsi="宋体" w:eastAsia="宋体" w:cs="Times New Roman"/>
          <w:color w:val="auto"/>
          <w:sz w:val="28"/>
          <w:szCs w:val="28"/>
          <w:lang w:val="zh-CN" w:eastAsia="zh-CN"/>
        </w:rPr>
        <w:t>总之，矿山安全生产是一个动态的过程，企业应按照本报告提出的对策措施和建议进行整改完善。在今后的安全生产过程中，应根据安全生产条件的变化和国家法规的进一步要求，不断完善安全技术措施和管理措施，提升安全技术水平，防止安全事故的发生，切实保障人民生命和企业财产的安全。</w:t>
      </w:r>
    </w:p>
    <w:p>
      <w:pPr>
        <w:wordWrap/>
        <w:topLinePunct w:val="0"/>
        <w:bidi w:val="0"/>
        <w:spacing w:line="500" w:lineRule="exact"/>
        <w:ind w:firstLine="560" w:firstLineChars="200"/>
        <w:textAlignment w:val="auto"/>
        <w:rPr>
          <w:rFonts w:hint="eastAsia" w:ascii="宋体" w:hAnsi="宋体" w:eastAsia="宋体" w:cs="Times New Roman"/>
          <w:color w:val="auto"/>
          <w:sz w:val="28"/>
          <w:szCs w:val="28"/>
          <w:lang w:val="zh-CN" w:eastAsia="zh-CN"/>
        </w:rPr>
        <w:sectPr>
          <w:pgSz w:w="11906" w:h="16838"/>
          <w:pgMar w:top="1417" w:right="1417" w:bottom="1417" w:left="1417" w:header="1020" w:footer="992" w:gutter="0"/>
          <w:pgNumType w:fmt="decimal"/>
          <w:cols w:space="720" w:num="1"/>
          <w:docGrid w:type="linesAndChars" w:linePitch="312" w:charSpace="0"/>
        </w:sectPr>
      </w:pPr>
      <w:bookmarkStart w:id="671" w:name="_Toc467792844"/>
      <w:bookmarkStart w:id="672" w:name="_Toc27608"/>
      <w:bookmarkStart w:id="673" w:name="_Toc502865242"/>
      <w:bookmarkStart w:id="674" w:name="_Toc438635241"/>
    </w:p>
    <w:p>
      <w:pPr>
        <w:pStyle w:val="3"/>
        <w:bidi w:val="0"/>
        <w:rPr>
          <w:rFonts w:hint="eastAsia"/>
          <w:lang w:eastAsia="zh-CN"/>
        </w:rPr>
      </w:pPr>
      <w:bookmarkStart w:id="675" w:name="_Toc357"/>
      <w:r>
        <w:rPr>
          <w:rFonts w:hint="eastAsia"/>
          <w:lang w:val="en-US" w:eastAsia="zh-CN"/>
        </w:rPr>
        <w:t xml:space="preserve">第7章  </w:t>
      </w:r>
      <w:r>
        <w:rPr>
          <w:rFonts w:hint="eastAsia"/>
          <w:lang w:eastAsia="zh-CN"/>
        </w:rPr>
        <w:t>附件及附图</w:t>
      </w:r>
      <w:bookmarkEnd w:id="671"/>
      <w:bookmarkEnd w:id="672"/>
      <w:bookmarkEnd w:id="673"/>
      <w:bookmarkEnd w:id="674"/>
      <w:bookmarkEnd w:id="675"/>
    </w:p>
    <w:p>
      <w:pPr>
        <w:pStyle w:val="4"/>
        <w:bidi w:val="0"/>
        <w:rPr>
          <w:rFonts w:hint="eastAsia" w:ascii="宋体" w:hAnsi="宋体" w:eastAsia="宋体"/>
          <w:color w:val="auto"/>
          <w:kern w:val="2"/>
          <w:lang w:eastAsia="zh-CN" w:bidi="ar-SA"/>
        </w:rPr>
      </w:pPr>
      <w:bookmarkStart w:id="676" w:name="_Toc52111953"/>
      <w:bookmarkStart w:id="677" w:name="_Toc467792845"/>
      <w:bookmarkStart w:id="678" w:name="_Toc502865243"/>
      <w:bookmarkStart w:id="679" w:name="_Toc52112096"/>
      <w:bookmarkStart w:id="680" w:name="_Toc68809438"/>
      <w:bookmarkStart w:id="681" w:name="_Toc67911264"/>
      <w:bookmarkStart w:id="682" w:name="_Toc68809553"/>
      <w:bookmarkStart w:id="683" w:name="_Toc14017"/>
      <w:r>
        <w:rPr>
          <w:rFonts w:hint="eastAsia"/>
          <w:lang w:val="en-US" w:eastAsia="zh-CN"/>
        </w:rPr>
        <w:t>7.1</w:t>
      </w:r>
      <w:r>
        <w:rPr>
          <w:rFonts w:hint="eastAsia"/>
          <w:lang w:eastAsia="zh-CN"/>
        </w:rPr>
        <w:t>附件</w:t>
      </w:r>
      <w:bookmarkEnd w:id="676"/>
      <w:bookmarkEnd w:id="677"/>
      <w:bookmarkEnd w:id="678"/>
      <w:bookmarkEnd w:id="679"/>
      <w:bookmarkEnd w:id="680"/>
      <w:bookmarkEnd w:id="681"/>
      <w:bookmarkEnd w:id="682"/>
      <w:bookmarkEnd w:id="683"/>
    </w:p>
    <w:p>
      <w:pPr>
        <w:wordWrap/>
        <w:topLinePunct w:val="0"/>
        <w:bidi w:val="0"/>
        <w:spacing w:line="500" w:lineRule="exact"/>
        <w:ind w:firstLine="560" w:firstLineChars="200"/>
        <w:textAlignment w:val="auto"/>
        <w:rPr>
          <w:rFonts w:hint="eastAsia" w:ascii="宋体" w:hAnsi="宋体"/>
          <w:color w:val="auto"/>
          <w:sz w:val="28"/>
          <w:szCs w:val="28"/>
        </w:rPr>
      </w:pPr>
      <w:bookmarkStart w:id="684" w:name="_Toc52112097"/>
      <w:bookmarkStart w:id="685" w:name="_Toc68809554"/>
      <w:bookmarkStart w:id="686" w:name="_Toc68809439"/>
      <w:bookmarkStart w:id="687" w:name="_Toc67911265"/>
      <w:bookmarkStart w:id="688" w:name="_Toc52111954"/>
      <w:bookmarkStart w:id="689" w:name="_Toc67911280"/>
      <w:bookmarkStart w:id="690" w:name="_Toc52111968"/>
      <w:bookmarkStart w:id="691" w:name="_Toc502865244"/>
      <w:bookmarkStart w:id="692" w:name="_Toc467792846"/>
      <w:bookmarkStart w:id="693" w:name="_Toc52112111"/>
      <w:bookmarkStart w:id="694" w:name="_Toc68809569"/>
      <w:bookmarkStart w:id="695" w:name="_Toc359397705"/>
      <w:bookmarkStart w:id="696" w:name="_Toc68809454"/>
      <w:r>
        <w:rPr>
          <w:rFonts w:hint="eastAsia" w:ascii="宋体" w:hAnsi="宋体"/>
          <w:color w:val="auto"/>
          <w:sz w:val="28"/>
          <w:szCs w:val="28"/>
        </w:rPr>
        <w:t>1．委托书</w:t>
      </w:r>
      <w:bookmarkEnd w:id="684"/>
      <w:bookmarkEnd w:id="685"/>
      <w:bookmarkEnd w:id="686"/>
      <w:bookmarkEnd w:id="687"/>
      <w:bookmarkEnd w:id="688"/>
      <w:r>
        <w:rPr>
          <w:rFonts w:hint="eastAsia" w:ascii="宋体" w:hAnsi="宋体"/>
          <w:color w:val="auto"/>
          <w:sz w:val="28"/>
          <w:szCs w:val="28"/>
          <w:lang w:eastAsia="zh-CN"/>
        </w:rPr>
        <w:t>、</w:t>
      </w:r>
      <w:r>
        <w:rPr>
          <w:rFonts w:hint="eastAsia" w:ascii="宋体" w:hAnsi="宋体"/>
          <w:color w:val="auto"/>
          <w:sz w:val="28"/>
          <w:szCs w:val="28"/>
        </w:rPr>
        <w:t>承诺书</w:t>
      </w:r>
    </w:p>
    <w:p>
      <w:pPr>
        <w:wordWrap/>
        <w:topLinePunct w:val="0"/>
        <w:bidi w:val="0"/>
        <w:spacing w:line="500" w:lineRule="exact"/>
        <w:ind w:firstLine="560" w:firstLineChars="200"/>
        <w:textAlignment w:val="auto"/>
        <w:rPr>
          <w:rFonts w:hint="eastAsia" w:ascii="宋体" w:hAnsi="宋体"/>
          <w:color w:val="auto"/>
          <w:sz w:val="28"/>
          <w:szCs w:val="28"/>
        </w:rPr>
      </w:pPr>
      <w:bookmarkStart w:id="697" w:name="_Toc67911266"/>
      <w:bookmarkStart w:id="698" w:name="_Toc52111955"/>
      <w:bookmarkStart w:id="699" w:name="_Toc52112098"/>
      <w:bookmarkStart w:id="700" w:name="_Toc68809555"/>
      <w:bookmarkStart w:id="701" w:name="_Toc68809440"/>
      <w:r>
        <w:rPr>
          <w:rFonts w:hint="eastAsia" w:ascii="宋体" w:hAnsi="宋体"/>
          <w:color w:val="auto"/>
          <w:sz w:val="28"/>
          <w:szCs w:val="28"/>
        </w:rPr>
        <w:t>2．</w:t>
      </w:r>
      <w:bookmarkEnd w:id="697"/>
      <w:bookmarkEnd w:id="698"/>
      <w:bookmarkEnd w:id="699"/>
      <w:bookmarkEnd w:id="700"/>
      <w:bookmarkEnd w:id="701"/>
      <w:r>
        <w:rPr>
          <w:rFonts w:hint="eastAsia" w:ascii="宋体" w:hAnsi="宋体"/>
          <w:color w:val="auto"/>
          <w:sz w:val="28"/>
          <w:szCs w:val="28"/>
        </w:rPr>
        <w:t>企业营业执照（副本）复印件</w:t>
      </w:r>
    </w:p>
    <w:p>
      <w:pPr>
        <w:wordWrap/>
        <w:topLinePunct w:val="0"/>
        <w:bidi w:val="0"/>
        <w:spacing w:line="500" w:lineRule="exact"/>
        <w:ind w:firstLine="560" w:firstLineChars="200"/>
        <w:textAlignment w:val="auto"/>
        <w:rPr>
          <w:rFonts w:hint="eastAsia" w:ascii="宋体" w:hAnsi="宋体"/>
          <w:color w:val="auto"/>
          <w:sz w:val="28"/>
          <w:szCs w:val="28"/>
        </w:rPr>
      </w:pPr>
      <w:bookmarkStart w:id="702" w:name="_Toc67911267"/>
      <w:bookmarkStart w:id="703" w:name="_Toc68809441"/>
      <w:bookmarkStart w:id="704" w:name="_Toc68809556"/>
      <w:bookmarkStart w:id="705" w:name="_Toc52112099"/>
      <w:bookmarkStart w:id="706" w:name="_Toc52111956"/>
      <w:r>
        <w:rPr>
          <w:rFonts w:hint="eastAsia" w:ascii="宋体" w:hAnsi="宋体"/>
          <w:color w:val="auto"/>
          <w:sz w:val="28"/>
          <w:szCs w:val="28"/>
        </w:rPr>
        <w:t>3．</w:t>
      </w:r>
      <w:bookmarkEnd w:id="702"/>
      <w:bookmarkEnd w:id="703"/>
      <w:bookmarkEnd w:id="704"/>
      <w:bookmarkEnd w:id="705"/>
      <w:bookmarkEnd w:id="706"/>
      <w:r>
        <w:rPr>
          <w:rFonts w:hint="eastAsia" w:ascii="宋体" w:hAnsi="宋体"/>
          <w:color w:val="auto"/>
          <w:sz w:val="28"/>
          <w:szCs w:val="28"/>
        </w:rPr>
        <w:t>采矿许可证（副本）复印件</w:t>
      </w:r>
    </w:p>
    <w:p>
      <w:pPr>
        <w:wordWrap/>
        <w:topLinePunct w:val="0"/>
        <w:bidi w:val="0"/>
        <w:spacing w:line="500" w:lineRule="exact"/>
        <w:ind w:firstLine="560" w:firstLineChars="200"/>
        <w:textAlignment w:val="auto"/>
        <w:rPr>
          <w:rFonts w:hint="eastAsia" w:ascii="宋体" w:hAnsi="宋体"/>
          <w:color w:val="auto"/>
          <w:sz w:val="28"/>
          <w:szCs w:val="28"/>
        </w:rPr>
      </w:pPr>
      <w:bookmarkStart w:id="707" w:name="_Toc52111958"/>
      <w:bookmarkStart w:id="708" w:name="_Toc68809558"/>
      <w:bookmarkStart w:id="709" w:name="_Toc67911269"/>
      <w:bookmarkStart w:id="710" w:name="_Toc52112101"/>
      <w:bookmarkStart w:id="711" w:name="_Toc68809443"/>
      <w:r>
        <w:rPr>
          <w:rFonts w:hint="eastAsia" w:ascii="宋体" w:hAnsi="宋体"/>
          <w:color w:val="auto"/>
          <w:sz w:val="28"/>
          <w:szCs w:val="28"/>
        </w:rPr>
        <w:t>4．</w:t>
      </w:r>
      <w:bookmarkEnd w:id="707"/>
      <w:bookmarkEnd w:id="708"/>
      <w:bookmarkEnd w:id="709"/>
      <w:bookmarkEnd w:id="710"/>
      <w:bookmarkEnd w:id="711"/>
      <w:bookmarkStart w:id="712" w:name="_Toc68809442"/>
      <w:bookmarkStart w:id="713" w:name="_Toc68809557"/>
      <w:bookmarkStart w:id="714" w:name="_Toc52111957"/>
      <w:bookmarkStart w:id="715" w:name="_Toc67911268"/>
      <w:bookmarkStart w:id="716" w:name="_Toc52112100"/>
      <w:r>
        <w:rPr>
          <w:rFonts w:hint="eastAsia" w:ascii="宋体" w:hAnsi="宋体"/>
          <w:color w:val="auto"/>
          <w:sz w:val="28"/>
          <w:szCs w:val="28"/>
          <w:lang w:val="en-US" w:eastAsia="zh-CN"/>
        </w:rPr>
        <w:t>安全生产许可证</w:t>
      </w:r>
    </w:p>
    <w:bookmarkEnd w:id="712"/>
    <w:bookmarkEnd w:id="713"/>
    <w:bookmarkEnd w:id="714"/>
    <w:bookmarkEnd w:id="715"/>
    <w:bookmarkEnd w:id="716"/>
    <w:p>
      <w:pPr>
        <w:wordWrap/>
        <w:topLinePunct w:val="0"/>
        <w:bidi w:val="0"/>
        <w:spacing w:line="500" w:lineRule="exact"/>
        <w:ind w:firstLine="560" w:firstLineChars="200"/>
        <w:textAlignment w:val="auto"/>
        <w:rPr>
          <w:rFonts w:hint="default" w:ascii="宋体" w:hAnsi="宋体" w:eastAsia="宋体"/>
          <w:color w:val="auto"/>
          <w:sz w:val="28"/>
          <w:szCs w:val="28"/>
          <w:lang w:val="en-US" w:eastAsia="zh-CN"/>
        </w:rPr>
      </w:pPr>
      <w:bookmarkStart w:id="717" w:name="_Toc68809445"/>
      <w:bookmarkStart w:id="718" w:name="_Toc52111960"/>
      <w:bookmarkStart w:id="719" w:name="_Toc67911271"/>
      <w:bookmarkStart w:id="720" w:name="_Toc52112103"/>
      <w:bookmarkStart w:id="721" w:name="_Toc68809560"/>
      <w:r>
        <w:rPr>
          <w:rFonts w:hint="eastAsia" w:ascii="宋体" w:hAnsi="宋体"/>
          <w:color w:val="auto"/>
          <w:sz w:val="28"/>
          <w:szCs w:val="28"/>
          <w:lang w:val="en-US" w:eastAsia="zh-CN"/>
        </w:rPr>
        <w:t>5</w:t>
      </w:r>
      <w:r>
        <w:rPr>
          <w:rFonts w:hint="eastAsia" w:ascii="宋体" w:hAnsi="宋体"/>
          <w:color w:val="auto"/>
          <w:sz w:val="28"/>
          <w:szCs w:val="28"/>
        </w:rPr>
        <w:t>．</w:t>
      </w:r>
      <w:r>
        <w:rPr>
          <w:rFonts w:hint="eastAsia" w:ascii="宋体" w:hAnsi="宋体"/>
          <w:color w:val="auto"/>
          <w:sz w:val="28"/>
          <w:szCs w:val="28"/>
          <w:lang w:val="en-US" w:eastAsia="zh-CN"/>
        </w:rPr>
        <w:t>安全生产标准化证书</w:t>
      </w:r>
    </w:p>
    <w:p>
      <w:pPr>
        <w:wordWrap/>
        <w:topLinePunct w:val="0"/>
        <w:bidi w:val="0"/>
        <w:spacing w:line="500" w:lineRule="exact"/>
        <w:ind w:firstLine="560" w:firstLineChars="200"/>
        <w:textAlignment w:val="auto"/>
        <w:rPr>
          <w:rFonts w:hint="eastAsia" w:ascii="宋体" w:hAnsi="宋体"/>
          <w:color w:val="auto"/>
          <w:sz w:val="28"/>
          <w:szCs w:val="28"/>
          <w:lang w:val="en-US" w:eastAsia="zh-CN"/>
        </w:rPr>
      </w:pPr>
      <w:r>
        <w:rPr>
          <w:rFonts w:hint="eastAsia" w:ascii="宋体" w:hAnsi="宋体"/>
          <w:color w:val="auto"/>
          <w:sz w:val="28"/>
          <w:szCs w:val="28"/>
          <w:lang w:val="en-US" w:eastAsia="zh-CN"/>
        </w:rPr>
        <w:t>6.安全管理机构设置文件及管理人员任命文件</w:t>
      </w:r>
    </w:p>
    <w:p>
      <w:pPr>
        <w:wordWrap/>
        <w:topLinePunct w:val="0"/>
        <w:bidi w:val="0"/>
        <w:spacing w:line="500" w:lineRule="exact"/>
        <w:ind w:firstLine="560" w:firstLineChars="200"/>
        <w:textAlignment w:val="auto"/>
        <w:rPr>
          <w:rFonts w:hint="eastAsia" w:ascii="宋体" w:hAnsi="宋体"/>
          <w:color w:val="auto"/>
          <w:sz w:val="28"/>
          <w:szCs w:val="28"/>
        </w:rPr>
      </w:pPr>
      <w:r>
        <w:rPr>
          <w:rFonts w:hint="eastAsia" w:ascii="宋体" w:hAnsi="宋体"/>
          <w:color w:val="auto"/>
          <w:sz w:val="28"/>
          <w:szCs w:val="28"/>
          <w:lang w:val="en-US" w:eastAsia="zh-CN"/>
        </w:rPr>
        <w:t>7.</w:t>
      </w:r>
      <w:r>
        <w:rPr>
          <w:rFonts w:hint="eastAsia" w:ascii="宋体" w:hAnsi="宋体"/>
          <w:color w:val="auto"/>
          <w:sz w:val="28"/>
          <w:szCs w:val="28"/>
        </w:rPr>
        <w:t>主要负责人、安全管理人员合格证复印件</w:t>
      </w:r>
      <w:bookmarkEnd w:id="717"/>
      <w:bookmarkEnd w:id="718"/>
      <w:bookmarkEnd w:id="719"/>
      <w:bookmarkEnd w:id="720"/>
      <w:bookmarkEnd w:id="721"/>
    </w:p>
    <w:p>
      <w:pPr>
        <w:wordWrap/>
        <w:topLinePunct w:val="0"/>
        <w:bidi w:val="0"/>
        <w:spacing w:line="500" w:lineRule="exact"/>
        <w:ind w:firstLine="560" w:firstLineChars="200"/>
        <w:textAlignment w:val="auto"/>
        <w:rPr>
          <w:rFonts w:hint="eastAsia" w:ascii="宋体" w:hAnsi="宋体"/>
          <w:color w:val="auto"/>
          <w:sz w:val="28"/>
          <w:szCs w:val="28"/>
        </w:rPr>
      </w:pPr>
      <w:bookmarkStart w:id="722" w:name="_Toc52112104"/>
      <w:bookmarkStart w:id="723" w:name="_Toc52111961"/>
      <w:bookmarkStart w:id="724" w:name="_Toc68809447"/>
      <w:bookmarkStart w:id="725" w:name="_Toc68809562"/>
      <w:bookmarkStart w:id="726" w:name="_Toc67911273"/>
      <w:r>
        <w:rPr>
          <w:rFonts w:hint="eastAsia" w:ascii="宋体" w:hAnsi="宋体"/>
          <w:color w:val="auto"/>
          <w:sz w:val="28"/>
          <w:szCs w:val="28"/>
          <w:lang w:val="en-US" w:eastAsia="zh-CN"/>
        </w:rPr>
        <w:t>8</w:t>
      </w:r>
      <w:r>
        <w:rPr>
          <w:rFonts w:hint="eastAsia" w:ascii="宋体" w:hAnsi="宋体"/>
          <w:color w:val="auto"/>
          <w:sz w:val="28"/>
          <w:szCs w:val="28"/>
        </w:rPr>
        <w:t>．特种作业</w:t>
      </w:r>
      <w:r>
        <w:rPr>
          <w:rFonts w:hint="eastAsia" w:ascii="宋体" w:hAnsi="宋体"/>
          <w:color w:val="auto"/>
          <w:sz w:val="28"/>
          <w:szCs w:val="28"/>
          <w:lang w:eastAsia="zh-CN"/>
        </w:rPr>
        <w:t>（</w:t>
      </w:r>
      <w:r>
        <w:rPr>
          <w:rFonts w:hint="eastAsia" w:ascii="宋体" w:hAnsi="宋体"/>
          <w:color w:val="auto"/>
          <w:sz w:val="28"/>
          <w:szCs w:val="28"/>
          <w:lang w:val="en-US" w:eastAsia="zh-CN"/>
        </w:rPr>
        <w:t>焊工、电工</w:t>
      </w:r>
      <w:r>
        <w:rPr>
          <w:rFonts w:hint="eastAsia" w:ascii="宋体" w:hAnsi="宋体"/>
          <w:color w:val="auto"/>
          <w:sz w:val="28"/>
          <w:szCs w:val="28"/>
          <w:lang w:eastAsia="zh-CN"/>
        </w:rPr>
        <w:t>）</w:t>
      </w:r>
      <w:r>
        <w:rPr>
          <w:rFonts w:hint="eastAsia" w:ascii="宋体" w:hAnsi="宋体"/>
          <w:color w:val="auto"/>
          <w:sz w:val="28"/>
          <w:szCs w:val="28"/>
        </w:rPr>
        <w:t>操作证复印件</w:t>
      </w:r>
      <w:bookmarkEnd w:id="722"/>
      <w:bookmarkEnd w:id="723"/>
      <w:bookmarkEnd w:id="724"/>
      <w:bookmarkEnd w:id="725"/>
      <w:bookmarkEnd w:id="726"/>
      <w:r>
        <w:rPr>
          <w:rFonts w:ascii="宋体" w:hAnsi="宋体"/>
          <w:color w:val="auto"/>
          <w:sz w:val="28"/>
          <w:szCs w:val="28"/>
        </w:rPr>
        <w:tab/>
      </w:r>
    </w:p>
    <w:p>
      <w:pPr>
        <w:wordWrap/>
        <w:topLinePunct w:val="0"/>
        <w:bidi w:val="0"/>
        <w:spacing w:line="500" w:lineRule="exact"/>
        <w:ind w:firstLine="560" w:firstLineChars="200"/>
        <w:textAlignment w:val="auto"/>
        <w:rPr>
          <w:rFonts w:hint="eastAsia" w:ascii="宋体" w:hAnsi="宋体"/>
          <w:color w:val="auto"/>
          <w:sz w:val="28"/>
          <w:szCs w:val="28"/>
        </w:rPr>
      </w:pPr>
      <w:bookmarkStart w:id="727" w:name="_Toc67911274"/>
      <w:bookmarkStart w:id="728" w:name="_Toc68809563"/>
      <w:bookmarkStart w:id="729" w:name="_Toc52112105"/>
      <w:bookmarkStart w:id="730" w:name="_Toc68809448"/>
      <w:bookmarkStart w:id="731" w:name="_Toc52111962"/>
      <w:r>
        <w:rPr>
          <w:rFonts w:hint="eastAsia" w:ascii="宋体" w:hAnsi="宋体"/>
          <w:color w:val="auto"/>
          <w:sz w:val="28"/>
          <w:szCs w:val="28"/>
          <w:lang w:val="en-US" w:eastAsia="zh-CN"/>
        </w:rPr>
        <w:t>9</w:t>
      </w:r>
      <w:r>
        <w:rPr>
          <w:rFonts w:hint="eastAsia" w:ascii="宋体" w:hAnsi="宋体"/>
          <w:color w:val="auto"/>
          <w:sz w:val="28"/>
          <w:szCs w:val="28"/>
        </w:rPr>
        <w:t>．</w:t>
      </w:r>
      <w:bookmarkEnd w:id="727"/>
      <w:bookmarkEnd w:id="728"/>
      <w:bookmarkEnd w:id="729"/>
      <w:bookmarkEnd w:id="730"/>
      <w:bookmarkEnd w:id="731"/>
      <w:r>
        <w:rPr>
          <w:rFonts w:hint="eastAsia" w:ascii="宋体" w:hAnsi="宋体"/>
          <w:color w:val="auto"/>
          <w:sz w:val="28"/>
          <w:szCs w:val="28"/>
        </w:rPr>
        <w:t>安全管理制度、安全生产责任制、操作规程目录</w:t>
      </w:r>
    </w:p>
    <w:p>
      <w:pPr>
        <w:wordWrap/>
        <w:topLinePunct w:val="0"/>
        <w:bidi w:val="0"/>
        <w:spacing w:line="500" w:lineRule="exact"/>
        <w:ind w:firstLine="560" w:firstLineChars="200"/>
        <w:textAlignment w:val="auto"/>
        <w:rPr>
          <w:rFonts w:hint="eastAsia" w:ascii="宋体" w:hAnsi="宋体"/>
          <w:color w:val="auto"/>
          <w:sz w:val="28"/>
          <w:szCs w:val="28"/>
        </w:rPr>
      </w:pPr>
      <w:bookmarkStart w:id="732" w:name="_Toc68809564"/>
      <w:bookmarkStart w:id="733" w:name="_Toc52112106"/>
      <w:bookmarkStart w:id="734" w:name="_Toc52111963"/>
      <w:bookmarkStart w:id="735" w:name="_Toc67911275"/>
      <w:bookmarkStart w:id="736" w:name="_Toc68809449"/>
      <w:r>
        <w:rPr>
          <w:rFonts w:hint="eastAsia" w:ascii="宋体" w:hAnsi="宋体"/>
          <w:color w:val="auto"/>
          <w:sz w:val="28"/>
          <w:szCs w:val="28"/>
          <w:lang w:val="en-US" w:eastAsia="zh-CN"/>
        </w:rPr>
        <w:t>10</w:t>
      </w:r>
      <w:r>
        <w:rPr>
          <w:rFonts w:hint="eastAsia" w:ascii="宋体" w:hAnsi="宋体"/>
          <w:color w:val="auto"/>
          <w:sz w:val="28"/>
          <w:szCs w:val="28"/>
        </w:rPr>
        <w:t>．初步设计和安全设施设计的扉页、资质</w:t>
      </w:r>
    </w:p>
    <w:p>
      <w:pPr>
        <w:wordWrap/>
        <w:topLinePunct w:val="0"/>
        <w:bidi w:val="0"/>
        <w:spacing w:line="500" w:lineRule="exact"/>
        <w:ind w:firstLine="560" w:firstLineChars="200"/>
        <w:textAlignment w:val="auto"/>
        <w:rPr>
          <w:rFonts w:hint="eastAsia" w:ascii="宋体" w:hAnsi="宋体"/>
          <w:color w:val="auto"/>
          <w:sz w:val="28"/>
          <w:szCs w:val="28"/>
        </w:rPr>
      </w:pPr>
      <w:r>
        <w:rPr>
          <w:rFonts w:hint="eastAsia" w:ascii="宋体" w:hAnsi="宋体"/>
          <w:color w:val="auto"/>
          <w:sz w:val="28"/>
          <w:szCs w:val="28"/>
          <w:lang w:val="en-US" w:eastAsia="zh-CN"/>
        </w:rPr>
        <w:t>11.</w:t>
      </w:r>
      <w:r>
        <w:rPr>
          <w:rFonts w:hint="eastAsia" w:ascii="宋体" w:hAnsi="宋体"/>
          <w:color w:val="auto"/>
          <w:sz w:val="28"/>
          <w:szCs w:val="28"/>
        </w:rPr>
        <w:t>原安全现状评价扉页、资质</w:t>
      </w:r>
    </w:p>
    <w:p>
      <w:pPr>
        <w:wordWrap/>
        <w:topLinePunct w:val="0"/>
        <w:bidi w:val="0"/>
        <w:spacing w:line="500" w:lineRule="exact"/>
        <w:ind w:firstLine="560" w:firstLineChars="200"/>
        <w:textAlignment w:val="auto"/>
        <w:rPr>
          <w:rFonts w:hint="eastAsia" w:ascii="宋体" w:hAnsi="宋体"/>
          <w:color w:val="auto"/>
          <w:sz w:val="28"/>
          <w:szCs w:val="28"/>
        </w:rPr>
      </w:pPr>
      <w:r>
        <w:rPr>
          <w:rFonts w:hint="eastAsia" w:ascii="宋体" w:hAnsi="宋体"/>
          <w:color w:val="auto"/>
          <w:sz w:val="28"/>
          <w:szCs w:val="28"/>
          <w:lang w:val="en-US" w:eastAsia="zh-CN"/>
        </w:rPr>
        <w:t>12.</w:t>
      </w:r>
      <w:r>
        <w:rPr>
          <w:rFonts w:hint="eastAsia" w:ascii="宋体" w:hAnsi="宋体"/>
          <w:color w:val="auto"/>
          <w:sz w:val="28"/>
          <w:szCs w:val="28"/>
        </w:rPr>
        <w:t>企业安全生产标准化评审报告封面及报告表</w:t>
      </w:r>
    </w:p>
    <w:p>
      <w:pPr>
        <w:wordWrap/>
        <w:topLinePunct w:val="0"/>
        <w:bidi w:val="0"/>
        <w:spacing w:line="500" w:lineRule="exact"/>
        <w:ind w:firstLine="560" w:firstLineChars="200"/>
        <w:textAlignment w:val="auto"/>
        <w:rPr>
          <w:rFonts w:hint="eastAsia" w:ascii="宋体" w:hAnsi="宋体"/>
          <w:color w:val="auto"/>
          <w:sz w:val="28"/>
          <w:szCs w:val="28"/>
        </w:rPr>
      </w:pPr>
      <w:r>
        <w:rPr>
          <w:rFonts w:hint="eastAsia" w:ascii="宋体" w:hAnsi="宋体"/>
          <w:color w:val="auto"/>
          <w:sz w:val="28"/>
          <w:szCs w:val="28"/>
          <w:lang w:val="en-US" w:eastAsia="zh-CN"/>
        </w:rPr>
        <w:t>13.工伤保险、安全生产责任保险</w:t>
      </w:r>
      <w:r>
        <w:rPr>
          <w:rFonts w:hint="eastAsia" w:ascii="宋体" w:hAnsi="宋体"/>
          <w:color w:val="auto"/>
          <w:sz w:val="28"/>
          <w:szCs w:val="28"/>
        </w:rPr>
        <w:t>凭证</w:t>
      </w:r>
      <w:bookmarkEnd w:id="732"/>
      <w:bookmarkEnd w:id="733"/>
      <w:bookmarkEnd w:id="734"/>
      <w:bookmarkEnd w:id="735"/>
      <w:bookmarkEnd w:id="736"/>
      <w:bookmarkStart w:id="737" w:name="_Toc52112107"/>
      <w:bookmarkStart w:id="738" w:name="_Toc68809450"/>
      <w:bookmarkStart w:id="739" w:name="_Toc68809565"/>
      <w:bookmarkStart w:id="740" w:name="_Toc67911276"/>
      <w:bookmarkStart w:id="741" w:name="_Toc52111964"/>
    </w:p>
    <w:bookmarkEnd w:id="737"/>
    <w:bookmarkEnd w:id="738"/>
    <w:bookmarkEnd w:id="739"/>
    <w:bookmarkEnd w:id="740"/>
    <w:bookmarkEnd w:id="741"/>
    <w:p>
      <w:pPr>
        <w:wordWrap/>
        <w:topLinePunct w:val="0"/>
        <w:bidi w:val="0"/>
        <w:spacing w:line="500" w:lineRule="exact"/>
        <w:ind w:firstLine="560" w:firstLineChars="200"/>
        <w:textAlignment w:val="auto"/>
        <w:rPr>
          <w:rFonts w:hint="default" w:ascii="宋体" w:hAnsi="宋体" w:eastAsia="宋体"/>
          <w:color w:val="auto"/>
          <w:sz w:val="28"/>
          <w:szCs w:val="28"/>
          <w:lang w:val="en-US" w:eastAsia="zh-CN"/>
        </w:rPr>
      </w:pPr>
      <w:bookmarkStart w:id="742" w:name="_Toc68809451"/>
      <w:bookmarkStart w:id="743" w:name="_Toc68809566"/>
      <w:bookmarkStart w:id="744" w:name="_Toc52112108"/>
      <w:bookmarkStart w:id="745" w:name="_Toc52111965"/>
      <w:bookmarkStart w:id="746" w:name="_Toc67911277"/>
      <w:r>
        <w:rPr>
          <w:rFonts w:hint="eastAsia" w:ascii="宋体" w:hAnsi="宋体"/>
          <w:color w:val="auto"/>
          <w:sz w:val="28"/>
          <w:szCs w:val="28"/>
        </w:rPr>
        <w:t>1</w:t>
      </w:r>
      <w:r>
        <w:rPr>
          <w:rFonts w:hint="eastAsia" w:ascii="宋体" w:hAnsi="宋体"/>
          <w:color w:val="auto"/>
          <w:sz w:val="28"/>
          <w:szCs w:val="28"/>
          <w:lang w:val="en-US" w:eastAsia="zh-CN"/>
        </w:rPr>
        <w:t>4</w:t>
      </w:r>
      <w:r>
        <w:rPr>
          <w:rFonts w:hint="eastAsia" w:ascii="宋体" w:hAnsi="宋体"/>
          <w:color w:val="auto"/>
          <w:sz w:val="28"/>
          <w:szCs w:val="28"/>
        </w:rPr>
        <w:t>．</w:t>
      </w:r>
      <w:r>
        <w:rPr>
          <w:rFonts w:hint="eastAsia" w:ascii="宋体" w:hAnsi="宋体"/>
          <w:color w:val="auto"/>
          <w:sz w:val="28"/>
          <w:szCs w:val="28"/>
          <w:lang w:val="en-US" w:eastAsia="zh-CN"/>
        </w:rPr>
        <w:t>互助协议</w:t>
      </w:r>
    </w:p>
    <w:p>
      <w:pPr>
        <w:wordWrap/>
        <w:topLinePunct w:val="0"/>
        <w:bidi w:val="0"/>
        <w:spacing w:line="500" w:lineRule="exact"/>
        <w:ind w:firstLine="560" w:firstLineChars="200"/>
        <w:textAlignment w:val="auto"/>
        <w:rPr>
          <w:rFonts w:hint="eastAsia" w:ascii="宋体" w:hAnsi="宋体"/>
          <w:color w:val="auto"/>
          <w:sz w:val="28"/>
          <w:szCs w:val="28"/>
        </w:rPr>
      </w:pPr>
      <w:r>
        <w:rPr>
          <w:rFonts w:hint="eastAsia" w:ascii="宋体" w:hAnsi="宋体"/>
          <w:color w:val="auto"/>
          <w:sz w:val="28"/>
          <w:szCs w:val="28"/>
          <w:lang w:val="en-US" w:eastAsia="zh-CN"/>
        </w:rPr>
        <w:t>15.</w:t>
      </w:r>
      <w:r>
        <w:rPr>
          <w:rFonts w:hint="eastAsia" w:ascii="宋体" w:hAnsi="宋体"/>
          <w:color w:val="auto"/>
          <w:sz w:val="28"/>
          <w:szCs w:val="28"/>
        </w:rPr>
        <w:t>（牟定县先宝养殖场）相邻企业安全应急救援互助协议</w:t>
      </w:r>
    </w:p>
    <w:p>
      <w:pPr>
        <w:wordWrap/>
        <w:topLinePunct w:val="0"/>
        <w:bidi w:val="0"/>
        <w:spacing w:line="500" w:lineRule="exact"/>
        <w:ind w:firstLine="560" w:firstLineChars="200"/>
        <w:textAlignment w:val="auto"/>
        <w:rPr>
          <w:rFonts w:hint="default" w:ascii="宋体" w:hAnsi="宋体" w:eastAsia="宋体"/>
          <w:color w:val="auto"/>
          <w:sz w:val="28"/>
          <w:szCs w:val="28"/>
          <w:lang w:val="en-US" w:eastAsia="zh-CN"/>
        </w:rPr>
      </w:pPr>
      <w:r>
        <w:rPr>
          <w:rFonts w:hint="eastAsia" w:ascii="宋体" w:hAnsi="宋体"/>
          <w:color w:val="auto"/>
          <w:sz w:val="28"/>
          <w:szCs w:val="28"/>
          <w:lang w:val="en-US" w:eastAsia="zh-CN"/>
        </w:rPr>
        <w:t>16.</w:t>
      </w:r>
      <w:r>
        <w:rPr>
          <w:rFonts w:hint="eastAsia" w:ascii="宋体" w:hAnsi="宋体"/>
          <w:color w:val="auto"/>
          <w:sz w:val="28"/>
          <w:szCs w:val="28"/>
        </w:rPr>
        <w:t>采场边坡稳定性分析报告</w:t>
      </w:r>
      <w:r>
        <w:rPr>
          <w:rFonts w:hint="eastAsia" w:ascii="宋体" w:hAnsi="宋体"/>
          <w:color w:val="auto"/>
          <w:sz w:val="28"/>
          <w:szCs w:val="28"/>
          <w:lang w:val="en-US" w:eastAsia="zh-CN"/>
        </w:rPr>
        <w:t>封面、目录</w:t>
      </w:r>
    </w:p>
    <w:p>
      <w:pPr>
        <w:wordWrap/>
        <w:topLinePunct w:val="0"/>
        <w:bidi w:val="0"/>
        <w:spacing w:line="500" w:lineRule="exact"/>
        <w:ind w:firstLine="560" w:firstLineChars="200"/>
        <w:textAlignment w:val="auto"/>
        <w:rPr>
          <w:rFonts w:hint="eastAsia" w:ascii="宋体" w:hAnsi="宋体"/>
          <w:color w:val="auto"/>
          <w:sz w:val="28"/>
          <w:szCs w:val="28"/>
        </w:rPr>
      </w:pPr>
      <w:r>
        <w:rPr>
          <w:rFonts w:hint="eastAsia" w:ascii="宋体" w:hAnsi="宋体"/>
          <w:color w:val="auto"/>
          <w:sz w:val="28"/>
          <w:szCs w:val="28"/>
          <w:lang w:val="en-US" w:eastAsia="zh-CN"/>
        </w:rPr>
        <w:t>17.</w:t>
      </w:r>
      <w:r>
        <w:rPr>
          <w:rFonts w:hint="eastAsia" w:ascii="宋体" w:hAnsi="宋体"/>
          <w:color w:val="auto"/>
          <w:sz w:val="28"/>
          <w:szCs w:val="28"/>
        </w:rPr>
        <w:t>隐患整改延期的申请报告及批复</w:t>
      </w:r>
    </w:p>
    <w:p>
      <w:pPr>
        <w:wordWrap/>
        <w:topLinePunct w:val="0"/>
        <w:bidi w:val="0"/>
        <w:spacing w:line="500" w:lineRule="exact"/>
        <w:ind w:firstLine="560" w:firstLineChars="200"/>
        <w:textAlignment w:val="auto"/>
        <w:rPr>
          <w:rFonts w:hint="default" w:ascii="宋体" w:hAnsi="宋体" w:eastAsia="宋体"/>
          <w:color w:val="auto"/>
          <w:sz w:val="28"/>
          <w:szCs w:val="28"/>
          <w:lang w:val="en-US" w:eastAsia="zh-CN"/>
        </w:rPr>
      </w:pPr>
      <w:r>
        <w:rPr>
          <w:rFonts w:hint="eastAsia" w:ascii="宋体" w:hAnsi="宋体"/>
          <w:color w:val="auto"/>
          <w:sz w:val="28"/>
          <w:szCs w:val="28"/>
          <w:lang w:val="en-US" w:eastAsia="zh-CN"/>
        </w:rPr>
        <w:t>18.部分安全管理记录台账（教育培训、安全检查、劳保用品发放、安全生产费用使用记录）</w:t>
      </w:r>
    </w:p>
    <w:bookmarkEnd w:id="742"/>
    <w:bookmarkEnd w:id="743"/>
    <w:bookmarkEnd w:id="744"/>
    <w:bookmarkEnd w:id="745"/>
    <w:bookmarkEnd w:id="746"/>
    <w:p>
      <w:pPr>
        <w:wordWrap/>
        <w:topLinePunct w:val="0"/>
        <w:bidi w:val="0"/>
        <w:spacing w:line="500" w:lineRule="exact"/>
        <w:ind w:firstLine="560" w:firstLineChars="200"/>
        <w:textAlignment w:val="auto"/>
        <w:rPr>
          <w:rFonts w:hint="eastAsia" w:ascii="宋体" w:hAnsi="宋体"/>
          <w:color w:val="auto"/>
          <w:sz w:val="28"/>
          <w:szCs w:val="28"/>
        </w:rPr>
      </w:pPr>
      <w:bookmarkStart w:id="747" w:name="_Toc67911279"/>
      <w:bookmarkStart w:id="748" w:name="_Toc68809568"/>
      <w:bookmarkStart w:id="749" w:name="_Toc52111967"/>
      <w:bookmarkStart w:id="750" w:name="_Toc68809453"/>
      <w:bookmarkStart w:id="751" w:name="_Toc52112110"/>
      <w:r>
        <w:rPr>
          <w:rFonts w:hint="eastAsia" w:ascii="宋体" w:hAnsi="宋体"/>
          <w:color w:val="auto"/>
          <w:sz w:val="28"/>
          <w:szCs w:val="28"/>
          <w:lang w:val="en-US" w:eastAsia="zh-CN"/>
        </w:rPr>
        <w:t>19</w:t>
      </w:r>
      <w:r>
        <w:rPr>
          <w:rFonts w:hint="eastAsia" w:ascii="宋体" w:hAnsi="宋体"/>
          <w:color w:val="auto"/>
          <w:sz w:val="28"/>
          <w:szCs w:val="28"/>
        </w:rPr>
        <w:t>.隐患整改报告</w:t>
      </w:r>
      <w:bookmarkEnd w:id="747"/>
      <w:bookmarkEnd w:id="748"/>
      <w:bookmarkEnd w:id="749"/>
      <w:bookmarkEnd w:id="750"/>
      <w:bookmarkEnd w:id="751"/>
    </w:p>
    <w:p>
      <w:pPr>
        <w:pStyle w:val="4"/>
        <w:bidi w:val="0"/>
        <w:rPr>
          <w:rFonts w:hint="eastAsia"/>
          <w:lang w:eastAsia="zh-CN"/>
        </w:rPr>
      </w:pPr>
      <w:bookmarkStart w:id="752" w:name="_Toc25860"/>
      <w:r>
        <w:rPr>
          <w:rFonts w:hint="eastAsia"/>
          <w:lang w:val="en-US" w:eastAsia="zh-CN"/>
        </w:rPr>
        <w:t>7.2</w:t>
      </w:r>
      <w:r>
        <w:rPr>
          <w:rFonts w:hint="eastAsia"/>
          <w:lang w:eastAsia="zh-CN"/>
        </w:rPr>
        <w:t>附图</w:t>
      </w:r>
      <w:bookmarkEnd w:id="689"/>
      <w:bookmarkEnd w:id="690"/>
      <w:bookmarkEnd w:id="691"/>
      <w:bookmarkEnd w:id="692"/>
      <w:bookmarkEnd w:id="693"/>
      <w:bookmarkEnd w:id="694"/>
      <w:bookmarkEnd w:id="695"/>
      <w:bookmarkEnd w:id="696"/>
      <w:bookmarkEnd w:id="752"/>
    </w:p>
    <w:p>
      <w:pPr>
        <w:wordWrap/>
        <w:topLinePunct w:val="0"/>
        <w:bidi w:val="0"/>
        <w:spacing w:line="500" w:lineRule="exact"/>
        <w:ind w:firstLine="560" w:firstLineChars="200"/>
        <w:textAlignment w:val="auto"/>
        <w:rPr>
          <w:rFonts w:hint="eastAsia" w:ascii="宋体" w:hAnsi="宋体"/>
          <w:color w:val="auto"/>
          <w:sz w:val="28"/>
          <w:szCs w:val="28"/>
        </w:rPr>
      </w:pPr>
      <w:r>
        <w:rPr>
          <w:rFonts w:hint="eastAsia" w:ascii="宋体" w:hAnsi="宋体"/>
          <w:color w:val="auto"/>
          <w:sz w:val="28"/>
          <w:szCs w:val="28"/>
        </w:rPr>
        <w:t>1.</w:t>
      </w:r>
      <w:r>
        <w:rPr>
          <w:rFonts w:hint="eastAsia" w:ascii="宋体" w:hAnsi="宋体"/>
          <w:color w:val="auto"/>
          <w:sz w:val="28"/>
          <w:szCs w:val="28"/>
          <w:lang w:val="en-US" w:eastAsia="zh-CN"/>
        </w:rPr>
        <w:t>矿区范围及地形地质</w:t>
      </w:r>
      <w:r>
        <w:rPr>
          <w:rFonts w:hint="eastAsia" w:ascii="宋体" w:hAnsi="宋体"/>
          <w:color w:val="auto"/>
          <w:sz w:val="28"/>
          <w:szCs w:val="28"/>
        </w:rPr>
        <w:t>图</w:t>
      </w:r>
    </w:p>
    <w:p>
      <w:pPr>
        <w:wordWrap/>
        <w:topLinePunct w:val="0"/>
        <w:bidi w:val="0"/>
        <w:spacing w:line="500" w:lineRule="exact"/>
        <w:ind w:firstLine="560" w:firstLineChars="200"/>
        <w:textAlignment w:val="auto"/>
        <w:rPr>
          <w:rFonts w:hint="eastAsia" w:ascii="宋体" w:hAnsi="宋体"/>
          <w:color w:val="auto"/>
          <w:sz w:val="28"/>
          <w:szCs w:val="28"/>
        </w:rPr>
      </w:pPr>
      <w:r>
        <w:rPr>
          <w:rFonts w:ascii="宋体" w:hAnsi="宋体"/>
          <w:color w:val="auto"/>
          <w:sz w:val="28"/>
          <w:szCs w:val="28"/>
        </w:rPr>
        <w:t>2</w:t>
      </w:r>
      <w:r>
        <w:rPr>
          <w:rFonts w:hint="eastAsia" w:ascii="宋体" w:hAnsi="宋体"/>
          <w:color w:val="auto"/>
          <w:sz w:val="28"/>
          <w:szCs w:val="28"/>
        </w:rPr>
        <w:t>.开采现状图</w:t>
      </w:r>
    </w:p>
    <w:p>
      <w:pPr>
        <w:wordWrap/>
        <w:topLinePunct w:val="0"/>
        <w:bidi w:val="0"/>
        <w:spacing w:line="500" w:lineRule="exact"/>
        <w:ind w:firstLine="560" w:firstLineChars="200"/>
        <w:textAlignment w:val="auto"/>
        <w:rPr>
          <w:rFonts w:hint="default" w:ascii="宋体" w:hAnsi="宋体" w:eastAsia="宋体"/>
          <w:color w:val="auto"/>
          <w:sz w:val="28"/>
          <w:szCs w:val="28"/>
          <w:lang w:val="en-US" w:eastAsia="zh-CN"/>
        </w:rPr>
      </w:pPr>
      <w:r>
        <w:rPr>
          <w:rFonts w:hint="eastAsia" w:ascii="宋体" w:hAnsi="宋体"/>
          <w:color w:val="auto"/>
          <w:sz w:val="28"/>
          <w:szCs w:val="28"/>
          <w:lang w:val="en-US" w:eastAsia="zh-CN"/>
        </w:rPr>
        <w:t>3.总平面布置图</w:t>
      </w:r>
    </w:p>
    <w:sectPr>
      <w:pgSz w:w="11906" w:h="16838"/>
      <w:pgMar w:top="1417" w:right="1417" w:bottom="1417" w:left="1417" w:header="1020" w:footer="992" w:gutter="0"/>
      <w:pgNumType w:fmt="decimal"/>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Fonts w:hint="default" w:eastAsia="宋体"/>
        <w:sz w:val="21"/>
        <w:szCs w:val="21"/>
        <w:lang w:val="en-US" w:eastAsia="zh-CN"/>
      </w:rPr>
    </w:pPr>
    <w:r>
      <w:rPr>
        <w:rFonts w:hint="eastAsia" w:eastAsia="宋体"/>
        <w:sz w:val="21"/>
        <w:szCs w:val="21"/>
        <w:lang w:val="en-US" w:eastAsia="zh-CN"/>
      </w:rPr>
      <w:t>昭通市鼎安科技有限公司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Fonts w:hint="default" w:eastAsia="宋体"/>
        <w:sz w:val="21"/>
        <w:szCs w:val="21"/>
        <w:lang w:val="en-US" w:eastAsia="zh-CN"/>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2" name="文本框 7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7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UJekjN8BAADAAwAADgAAAAAA&#10;AAABACAAAAAeAQAAZHJzL2Uyb0RvYy54bWxQSwUGAAAAAAYABgBZAQAAbwUAAAAA&#10;">
              <v:fill on="f" focussize="0,0"/>
              <v:stroke on="f"/>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eastAsia="宋体"/>
        <w:sz w:val="21"/>
        <w:szCs w:val="21"/>
        <w:lang w:val="en-US" w:eastAsia="zh-CN"/>
      </w:rPr>
      <w:t>昭通市鼎安科技有限公司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Fonts w:hint="default" w:eastAsia="宋体"/>
        <w:sz w:val="21"/>
        <w:szCs w:val="21"/>
        <w:lang w:val="en-US" w:eastAsia="zh-CN"/>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1" name="文本框 7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3"/>
                          </w:pPr>
                          <w:r>
                            <w:fldChar w:fldCharType="begin"/>
                          </w:r>
                          <w:r>
                            <w:instrText xml:space="preserve"> PAGE  \* MERGEFORMAT </w:instrText>
                          </w:r>
                          <w:r>
                            <w:fldChar w:fldCharType="separate"/>
                          </w:r>
                          <w:r>
                            <w:t>10</w:t>
                          </w:r>
                          <w:r>
                            <w:fldChar w:fldCharType="end"/>
                          </w:r>
                        </w:p>
                      </w:txbxContent>
                    </wps:txbx>
                    <wps:bodyPr vert="horz" wrap="none" lIns="0" tIns="0" rIns="0" bIns="0" anchor="t" anchorCtr="0" upright="0">
                      <a:spAutoFit/>
                    </wps:bodyPr>
                  </wps:wsp>
                </a:graphicData>
              </a:graphic>
            </wp:anchor>
          </w:drawing>
        </mc:Choice>
        <mc:Fallback>
          <w:pict>
            <v:shape id="文本框 7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Jl2yu7gAQAAwAMAAA4AAAAA&#10;AAAAAQAgAAAAHgEAAGRycy9lMm9Eb2MueG1sUEsFBgAAAAAGAAYAWQEAAHAFAAAAAA==&#10;">
              <v:fill on="f" focussize="0,0"/>
              <v:stroke on="f"/>
              <v:imagedata o:title=""/>
              <o:lock v:ext="edit" aspectratio="f"/>
              <v:textbox inset="0mm,0mm,0mm,0mm" style="mso-fit-shape-to-text:t;">
                <w:txbxContent>
                  <w:p>
                    <w:pPr>
                      <w:pStyle w:val="23"/>
                    </w:pPr>
                    <w:r>
                      <w:fldChar w:fldCharType="begin"/>
                    </w:r>
                    <w:r>
                      <w:instrText xml:space="preserve"> PAGE  \* MERGEFORMAT </w:instrText>
                    </w:r>
                    <w:r>
                      <w:fldChar w:fldCharType="separate"/>
                    </w:r>
                    <w:r>
                      <w:t>10</w:t>
                    </w:r>
                    <w:r>
                      <w:fldChar w:fldCharType="end"/>
                    </w:r>
                  </w:p>
                </w:txbxContent>
              </v:textbox>
            </v:shape>
          </w:pict>
        </mc:Fallback>
      </mc:AlternateContent>
    </w:r>
    <w:r>
      <w:rPr>
        <w:rFonts w:hint="eastAsia" w:eastAsia="宋体"/>
        <w:sz w:val="21"/>
        <w:szCs w:val="21"/>
        <w:lang w:val="en-US" w:eastAsia="zh-CN"/>
      </w:rPr>
      <w:t>昭通市鼎安科技有限公司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bidi w:val="0"/>
      <w:jc w:val="center"/>
      <w:rPr>
        <w:rFonts w:hint="eastAsia"/>
      </w:rPr>
    </w:pPr>
    <w:r>
      <w:rPr>
        <w:rFonts w:hint="eastAsia"/>
        <w:lang w:val="zh-TW" w:eastAsia="zh-CN"/>
      </w:rPr>
      <w:t>牟定共和西山寺砂场安全现状评价报告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bidi w:val="0"/>
      <w:jc w:val="center"/>
    </w:pPr>
    <w:r>
      <w:rPr>
        <w:rFonts w:hint="eastAsia"/>
      </w:rPr>
      <w:t>牟定共和西山寺砂场安全现状评价报告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677352"/>
    <w:multiLevelType w:val="singleLevel"/>
    <w:tmpl w:val="DB677352"/>
    <w:lvl w:ilvl="0" w:tentative="0">
      <w:start w:val="1"/>
      <w:numFmt w:val="decimal"/>
      <w:lvlText w:val="%1."/>
      <w:lvlJc w:val="left"/>
      <w:pPr>
        <w:tabs>
          <w:tab w:val="left" w:pos="420"/>
        </w:tabs>
        <w:ind w:left="425" w:hanging="425"/>
      </w:pPr>
      <w:rPr>
        <w:rFonts w:hint="default"/>
      </w:rPr>
    </w:lvl>
  </w:abstractNum>
  <w:abstractNum w:abstractNumId="1">
    <w:nsid w:val="5F39E456"/>
    <w:multiLevelType w:val="singleLevel"/>
    <w:tmpl w:val="5F39E456"/>
    <w:lvl w:ilvl="0" w:tentative="0">
      <w:start w:val="1"/>
      <w:numFmt w:val="decimal"/>
      <w:suff w:val="nothing"/>
      <w:lvlText w:val="%1．"/>
      <w:lvlJc w:val="left"/>
      <w:pPr>
        <w:ind w:left="0" w:firstLine="400"/>
      </w:pPr>
      <w:rPr>
        <w:rFonts w:hint="default"/>
      </w:rPr>
    </w:lvl>
  </w:abstractNum>
  <w:abstractNum w:abstractNumId="2">
    <w:nsid w:val="73E920E7"/>
    <w:multiLevelType w:val="singleLevel"/>
    <w:tmpl w:val="73E920E7"/>
    <w:lvl w:ilvl="0" w:tentative="0">
      <w:start w:val="1"/>
      <w:numFmt w:val="decimal"/>
      <w:suff w:val="nothing"/>
      <w:lvlText w:val="%1．"/>
      <w:lvlJc w:val="left"/>
      <w:pPr>
        <w:ind w:left="0" w:firstLine="400"/>
      </w:pPr>
      <w:rPr>
        <w:rFont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kMjUyODdkYTBkZTM5OGM1Zjg3MWI0ZGNlZDI4MTMifQ=="/>
    <w:docVar w:name="KSO_WPS_MARK_KEY" w:val="a0e7143a-4299-41ae-b3e7-0f8680a51a06"/>
  </w:docVars>
  <w:rsids>
    <w:rsidRoot w:val="00172A27"/>
    <w:rsid w:val="00001A54"/>
    <w:rsid w:val="00001FD5"/>
    <w:rsid w:val="00002018"/>
    <w:rsid w:val="00002A3F"/>
    <w:rsid w:val="000035A7"/>
    <w:rsid w:val="00003B40"/>
    <w:rsid w:val="00005769"/>
    <w:rsid w:val="00005C01"/>
    <w:rsid w:val="00005DC3"/>
    <w:rsid w:val="000060FA"/>
    <w:rsid w:val="00006216"/>
    <w:rsid w:val="00007E30"/>
    <w:rsid w:val="00011DEA"/>
    <w:rsid w:val="00011F0F"/>
    <w:rsid w:val="00012288"/>
    <w:rsid w:val="00012ABC"/>
    <w:rsid w:val="0001423D"/>
    <w:rsid w:val="000147E3"/>
    <w:rsid w:val="000152E8"/>
    <w:rsid w:val="00016666"/>
    <w:rsid w:val="00017479"/>
    <w:rsid w:val="00017FB0"/>
    <w:rsid w:val="00017FDF"/>
    <w:rsid w:val="00020B3B"/>
    <w:rsid w:val="000240A7"/>
    <w:rsid w:val="00026499"/>
    <w:rsid w:val="00026D94"/>
    <w:rsid w:val="00027100"/>
    <w:rsid w:val="000276D4"/>
    <w:rsid w:val="000279F5"/>
    <w:rsid w:val="00030BE9"/>
    <w:rsid w:val="0003114C"/>
    <w:rsid w:val="00031EB8"/>
    <w:rsid w:val="00032554"/>
    <w:rsid w:val="00032865"/>
    <w:rsid w:val="000333A3"/>
    <w:rsid w:val="00034C71"/>
    <w:rsid w:val="00035604"/>
    <w:rsid w:val="00035AB3"/>
    <w:rsid w:val="00035CC4"/>
    <w:rsid w:val="00035FC2"/>
    <w:rsid w:val="000377C3"/>
    <w:rsid w:val="00040471"/>
    <w:rsid w:val="00041117"/>
    <w:rsid w:val="000420EF"/>
    <w:rsid w:val="0004213D"/>
    <w:rsid w:val="00042D31"/>
    <w:rsid w:val="00043B77"/>
    <w:rsid w:val="00043C29"/>
    <w:rsid w:val="000458A2"/>
    <w:rsid w:val="00046CBF"/>
    <w:rsid w:val="00047A65"/>
    <w:rsid w:val="00050F48"/>
    <w:rsid w:val="00050FA7"/>
    <w:rsid w:val="0005166E"/>
    <w:rsid w:val="000518A2"/>
    <w:rsid w:val="00051F0A"/>
    <w:rsid w:val="0005235C"/>
    <w:rsid w:val="00052B63"/>
    <w:rsid w:val="00053BD3"/>
    <w:rsid w:val="00054AC2"/>
    <w:rsid w:val="00055DE5"/>
    <w:rsid w:val="000563FC"/>
    <w:rsid w:val="00056AE5"/>
    <w:rsid w:val="00056B63"/>
    <w:rsid w:val="00057A13"/>
    <w:rsid w:val="000608A5"/>
    <w:rsid w:val="000613A8"/>
    <w:rsid w:val="00062BBF"/>
    <w:rsid w:val="00062DDD"/>
    <w:rsid w:val="00063150"/>
    <w:rsid w:val="00063206"/>
    <w:rsid w:val="00063431"/>
    <w:rsid w:val="00065208"/>
    <w:rsid w:val="000663D6"/>
    <w:rsid w:val="000669E5"/>
    <w:rsid w:val="00066A0E"/>
    <w:rsid w:val="00067795"/>
    <w:rsid w:val="00070B59"/>
    <w:rsid w:val="00070C0E"/>
    <w:rsid w:val="00070E61"/>
    <w:rsid w:val="0007162E"/>
    <w:rsid w:val="000720FC"/>
    <w:rsid w:val="0007248C"/>
    <w:rsid w:val="0007369D"/>
    <w:rsid w:val="00074066"/>
    <w:rsid w:val="00074136"/>
    <w:rsid w:val="0007464B"/>
    <w:rsid w:val="00075353"/>
    <w:rsid w:val="00075F29"/>
    <w:rsid w:val="00076140"/>
    <w:rsid w:val="000775B1"/>
    <w:rsid w:val="000776D8"/>
    <w:rsid w:val="00077A5A"/>
    <w:rsid w:val="00077C50"/>
    <w:rsid w:val="00077F0A"/>
    <w:rsid w:val="00080404"/>
    <w:rsid w:val="00081239"/>
    <w:rsid w:val="00081E1D"/>
    <w:rsid w:val="00082C90"/>
    <w:rsid w:val="00082E6E"/>
    <w:rsid w:val="000832B0"/>
    <w:rsid w:val="00083646"/>
    <w:rsid w:val="0008397A"/>
    <w:rsid w:val="00083C95"/>
    <w:rsid w:val="00084AD8"/>
    <w:rsid w:val="00084ECB"/>
    <w:rsid w:val="0008670E"/>
    <w:rsid w:val="00086B6B"/>
    <w:rsid w:val="0008792F"/>
    <w:rsid w:val="00091023"/>
    <w:rsid w:val="00091850"/>
    <w:rsid w:val="00091D2D"/>
    <w:rsid w:val="000920BF"/>
    <w:rsid w:val="000925DC"/>
    <w:rsid w:val="00092A53"/>
    <w:rsid w:val="00092BC9"/>
    <w:rsid w:val="000934A6"/>
    <w:rsid w:val="000935FC"/>
    <w:rsid w:val="00094129"/>
    <w:rsid w:val="000948C5"/>
    <w:rsid w:val="000952FA"/>
    <w:rsid w:val="000A0A17"/>
    <w:rsid w:val="000A17E0"/>
    <w:rsid w:val="000A2E95"/>
    <w:rsid w:val="000A377C"/>
    <w:rsid w:val="000A4063"/>
    <w:rsid w:val="000A4642"/>
    <w:rsid w:val="000A5634"/>
    <w:rsid w:val="000A5B2D"/>
    <w:rsid w:val="000A5D84"/>
    <w:rsid w:val="000A764A"/>
    <w:rsid w:val="000B09B4"/>
    <w:rsid w:val="000B0B55"/>
    <w:rsid w:val="000B1802"/>
    <w:rsid w:val="000B1FC2"/>
    <w:rsid w:val="000B2BD4"/>
    <w:rsid w:val="000B32A3"/>
    <w:rsid w:val="000B3534"/>
    <w:rsid w:val="000B3B5B"/>
    <w:rsid w:val="000B3B70"/>
    <w:rsid w:val="000B48DD"/>
    <w:rsid w:val="000B58F7"/>
    <w:rsid w:val="000B5BA8"/>
    <w:rsid w:val="000B5D36"/>
    <w:rsid w:val="000B5F5C"/>
    <w:rsid w:val="000B623C"/>
    <w:rsid w:val="000C221E"/>
    <w:rsid w:val="000C2F4C"/>
    <w:rsid w:val="000C346C"/>
    <w:rsid w:val="000C373B"/>
    <w:rsid w:val="000C3FE7"/>
    <w:rsid w:val="000C4B82"/>
    <w:rsid w:val="000C68D0"/>
    <w:rsid w:val="000C78F8"/>
    <w:rsid w:val="000D0016"/>
    <w:rsid w:val="000D1E4F"/>
    <w:rsid w:val="000D2F2F"/>
    <w:rsid w:val="000D2F54"/>
    <w:rsid w:val="000D2FE5"/>
    <w:rsid w:val="000D4C2C"/>
    <w:rsid w:val="000D4EE4"/>
    <w:rsid w:val="000D51D7"/>
    <w:rsid w:val="000D5D9B"/>
    <w:rsid w:val="000D64D3"/>
    <w:rsid w:val="000E0014"/>
    <w:rsid w:val="000E01E7"/>
    <w:rsid w:val="000E17F2"/>
    <w:rsid w:val="000E1879"/>
    <w:rsid w:val="000E1A1E"/>
    <w:rsid w:val="000E1E22"/>
    <w:rsid w:val="000E23E1"/>
    <w:rsid w:val="000E2610"/>
    <w:rsid w:val="000E265E"/>
    <w:rsid w:val="000E38D0"/>
    <w:rsid w:val="000E392A"/>
    <w:rsid w:val="000E39FB"/>
    <w:rsid w:val="000E3E94"/>
    <w:rsid w:val="000E4103"/>
    <w:rsid w:val="000E4328"/>
    <w:rsid w:val="000E5A6A"/>
    <w:rsid w:val="000E5D71"/>
    <w:rsid w:val="000E65C8"/>
    <w:rsid w:val="000E68D8"/>
    <w:rsid w:val="000F0B2B"/>
    <w:rsid w:val="000F0D4B"/>
    <w:rsid w:val="000F185B"/>
    <w:rsid w:val="000F2A55"/>
    <w:rsid w:val="000F2B16"/>
    <w:rsid w:val="000F2C24"/>
    <w:rsid w:val="000F2F00"/>
    <w:rsid w:val="000F3433"/>
    <w:rsid w:val="000F4CC9"/>
    <w:rsid w:val="000F4F65"/>
    <w:rsid w:val="000F50E7"/>
    <w:rsid w:val="000F516F"/>
    <w:rsid w:val="000F5369"/>
    <w:rsid w:val="000F6144"/>
    <w:rsid w:val="000F6E61"/>
    <w:rsid w:val="000F74ED"/>
    <w:rsid w:val="000F7A46"/>
    <w:rsid w:val="00100EFC"/>
    <w:rsid w:val="00101471"/>
    <w:rsid w:val="00102A2C"/>
    <w:rsid w:val="0010619A"/>
    <w:rsid w:val="00110002"/>
    <w:rsid w:val="00110204"/>
    <w:rsid w:val="00110C92"/>
    <w:rsid w:val="00110D73"/>
    <w:rsid w:val="00111EB9"/>
    <w:rsid w:val="00112398"/>
    <w:rsid w:val="001130B6"/>
    <w:rsid w:val="00113555"/>
    <w:rsid w:val="00113A2F"/>
    <w:rsid w:val="00114631"/>
    <w:rsid w:val="00115FB7"/>
    <w:rsid w:val="00120F54"/>
    <w:rsid w:val="001220AD"/>
    <w:rsid w:val="001224A4"/>
    <w:rsid w:val="00122E1B"/>
    <w:rsid w:val="00122E7E"/>
    <w:rsid w:val="00123E7A"/>
    <w:rsid w:val="001243D5"/>
    <w:rsid w:val="00124B44"/>
    <w:rsid w:val="00124CC1"/>
    <w:rsid w:val="00126852"/>
    <w:rsid w:val="001276B8"/>
    <w:rsid w:val="00127A68"/>
    <w:rsid w:val="001304C1"/>
    <w:rsid w:val="001308A6"/>
    <w:rsid w:val="00130A7F"/>
    <w:rsid w:val="001314E4"/>
    <w:rsid w:val="00133BA4"/>
    <w:rsid w:val="00134DCA"/>
    <w:rsid w:val="00135375"/>
    <w:rsid w:val="00136BC6"/>
    <w:rsid w:val="0013767B"/>
    <w:rsid w:val="001400AC"/>
    <w:rsid w:val="001404AE"/>
    <w:rsid w:val="001409D2"/>
    <w:rsid w:val="00140FF3"/>
    <w:rsid w:val="001410F8"/>
    <w:rsid w:val="001430BF"/>
    <w:rsid w:val="00143630"/>
    <w:rsid w:val="00145B69"/>
    <w:rsid w:val="00146445"/>
    <w:rsid w:val="00146A6E"/>
    <w:rsid w:val="00146D7B"/>
    <w:rsid w:val="0014761B"/>
    <w:rsid w:val="0014776B"/>
    <w:rsid w:val="00150F93"/>
    <w:rsid w:val="00150F95"/>
    <w:rsid w:val="00151E8B"/>
    <w:rsid w:val="00152612"/>
    <w:rsid w:val="00152947"/>
    <w:rsid w:val="00153545"/>
    <w:rsid w:val="001538A3"/>
    <w:rsid w:val="00155BA5"/>
    <w:rsid w:val="00155C06"/>
    <w:rsid w:val="0015655E"/>
    <w:rsid w:val="0015660C"/>
    <w:rsid w:val="001576B2"/>
    <w:rsid w:val="00157FF3"/>
    <w:rsid w:val="001601F9"/>
    <w:rsid w:val="001602BE"/>
    <w:rsid w:val="001609A2"/>
    <w:rsid w:val="00161813"/>
    <w:rsid w:val="001619A1"/>
    <w:rsid w:val="00161EBA"/>
    <w:rsid w:val="001645EE"/>
    <w:rsid w:val="001702F3"/>
    <w:rsid w:val="001703DC"/>
    <w:rsid w:val="001710D6"/>
    <w:rsid w:val="0017193C"/>
    <w:rsid w:val="00171956"/>
    <w:rsid w:val="00173837"/>
    <w:rsid w:val="00173CDF"/>
    <w:rsid w:val="00173D88"/>
    <w:rsid w:val="00174ABC"/>
    <w:rsid w:val="00174E80"/>
    <w:rsid w:val="00175664"/>
    <w:rsid w:val="00175A9C"/>
    <w:rsid w:val="001764C5"/>
    <w:rsid w:val="001765BF"/>
    <w:rsid w:val="00176F2C"/>
    <w:rsid w:val="0017723D"/>
    <w:rsid w:val="001773E4"/>
    <w:rsid w:val="0017789A"/>
    <w:rsid w:val="0018022E"/>
    <w:rsid w:val="001807F2"/>
    <w:rsid w:val="00181F38"/>
    <w:rsid w:val="0018274B"/>
    <w:rsid w:val="0018274C"/>
    <w:rsid w:val="00182753"/>
    <w:rsid w:val="001829A9"/>
    <w:rsid w:val="0018365D"/>
    <w:rsid w:val="001839CA"/>
    <w:rsid w:val="00183D83"/>
    <w:rsid w:val="00184EC5"/>
    <w:rsid w:val="001851BB"/>
    <w:rsid w:val="00185BC8"/>
    <w:rsid w:val="001866B4"/>
    <w:rsid w:val="001872F8"/>
    <w:rsid w:val="001873E2"/>
    <w:rsid w:val="00191693"/>
    <w:rsid w:val="00191EBB"/>
    <w:rsid w:val="00192688"/>
    <w:rsid w:val="00192969"/>
    <w:rsid w:val="00192FD7"/>
    <w:rsid w:val="001933E9"/>
    <w:rsid w:val="00193B85"/>
    <w:rsid w:val="0019414A"/>
    <w:rsid w:val="00194313"/>
    <w:rsid w:val="0019491C"/>
    <w:rsid w:val="001958A5"/>
    <w:rsid w:val="00196031"/>
    <w:rsid w:val="00196186"/>
    <w:rsid w:val="001965BD"/>
    <w:rsid w:val="0019670A"/>
    <w:rsid w:val="00196769"/>
    <w:rsid w:val="00196D7F"/>
    <w:rsid w:val="00197291"/>
    <w:rsid w:val="0019768B"/>
    <w:rsid w:val="001A0B7B"/>
    <w:rsid w:val="001A0BC9"/>
    <w:rsid w:val="001A0FD0"/>
    <w:rsid w:val="001A1837"/>
    <w:rsid w:val="001A31B3"/>
    <w:rsid w:val="001A37BD"/>
    <w:rsid w:val="001A3880"/>
    <w:rsid w:val="001A3F0E"/>
    <w:rsid w:val="001A47CE"/>
    <w:rsid w:val="001A6748"/>
    <w:rsid w:val="001A6AEC"/>
    <w:rsid w:val="001A6DE4"/>
    <w:rsid w:val="001A7082"/>
    <w:rsid w:val="001A7E53"/>
    <w:rsid w:val="001B36E5"/>
    <w:rsid w:val="001B3C38"/>
    <w:rsid w:val="001B3DC7"/>
    <w:rsid w:val="001B41E5"/>
    <w:rsid w:val="001B48C6"/>
    <w:rsid w:val="001B4F8A"/>
    <w:rsid w:val="001B64BD"/>
    <w:rsid w:val="001B6A2B"/>
    <w:rsid w:val="001C1A9D"/>
    <w:rsid w:val="001C1ADC"/>
    <w:rsid w:val="001C1AFC"/>
    <w:rsid w:val="001C1F4F"/>
    <w:rsid w:val="001C306B"/>
    <w:rsid w:val="001C365B"/>
    <w:rsid w:val="001C42E4"/>
    <w:rsid w:val="001C4C25"/>
    <w:rsid w:val="001C50EE"/>
    <w:rsid w:val="001C52C1"/>
    <w:rsid w:val="001C5A79"/>
    <w:rsid w:val="001C6348"/>
    <w:rsid w:val="001C7E1A"/>
    <w:rsid w:val="001D0B66"/>
    <w:rsid w:val="001D164C"/>
    <w:rsid w:val="001D1B3B"/>
    <w:rsid w:val="001D2AE0"/>
    <w:rsid w:val="001D32CE"/>
    <w:rsid w:val="001D3369"/>
    <w:rsid w:val="001D44D4"/>
    <w:rsid w:val="001D48C5"/>
    <w:rsid w:val="001D51BB"/>
    <w:rsid w:val="001D5F51"/>
    <w:rsid w:val="001D6EFA"/>
    <w:rsid w:val="001D6F87"/>
    <w:rsid w:val="001D7281"/>
    <w:rsid w:val="001D7935"/>
    <w:rsid w:val="001E0B07"/>
    <w:rsid w:val="001E2D08"/>
    <w:rsid w:val="001E2DCA"/>
    <w:rsid w:val="001E32F9"/>
    <w:rsid w:val="001E3B32"/>
    <w:rsid w:val="001E4135"/>
    <w:rsid w:val="001E4294"/>
    <w:rsid w:val="001E67E0"/>
    <w:rsid w:val="001E6898"/>
    <w:rsid w:val="001E6968"/>
    <w:rsid w:val="001E756E"/>
    <w:rsid w:val="001F3497"/>
    <w:rsid w:val="001F3C80"/>
    <w:rsid w:val="00200ADF"/>
    <w:rsid w:val="00200D59"/>
    <w:rsid w:val="00201E55"/>
    <w:rsid w:val="002022A6"/>
    <w:rsid w:val="00202BA4"/>
    <w:rsid w:val="002041B8"/>
    <w:rsid w:val="0020473C"/>
    <w:rsid w:val="00204E72"/>
    <w:rsid w:val="00206E90"/>
    <w:rsid w:val="00210C84"/>
    <w:rsid w:val="00211415"/>
    <w:rsid w:val="00212CDB"/>
    <w:rsid w:val="00213021"/>
    <w:rsid w:val="00213141"/>
    <w:rsid w:val="00214ACA"/>
    <w:rsid w:val="00214BED"/>
    <w:rsid w:val="00215522"/>
    <w:rsid w:val="00215747"/>
    <w:rsid w:val="0021609F"/>
    <w:rsid w:val="002177FA"/>
    <w:rsid w:val="00220BC4"/>
    <w:rsid w:val="002211DB"/>
    <w:rsid w:val="00223741"/>
    <w:rsid w:val="00224EB7"/>
    <w:rsid w:val="0022516A"/>
    <w:rsid w:val="00227677"/>
    <w:rsid w:val="00227EA7"/>
    <w:rsid w:val="00230284"/>
    <w:rsid w:val="00230A6D"/>
    <w:rsid w:val="002313CB"/>
    <w:rsid w:val="002319A3"/>
    <w:rsid w:val="00231F40"/>
    <w:rsid w:val="00233D9D"/>
    <w:rsid w:val="00234877"/>
    <w:rsid w:val="0023492B"/>
    <w:rsid w:val="002350BE"/>
    <w:rsid w:val="002368C1"/>
    <w:rsid w:val="00237408"/>
    <w:rsid w:val="00237956"/>
    <w:rsid w:val="00240367"/>
    <w:rsid w:val="002412A1"/>
    <w:rsid w:val="00241999"/>
    <w:rsid w:val="00241D40"/>
    <w:rsid w:val="00242EE2"/>
    <w:rsid w:val="00244161"/>
    <w:rsid w:val="0024508E"/>
    <w:rsid w:val="002451F1"/>
    <w:rsid w:val="002454B0"/>
    <w:rsid w:val="00246D77"/>
    <w:rsid w:val="00246F18"/>
    <w:rsid w:val="00247C85"/>
    <w:rsid w:val="002501D6"/>
    <w:rsid w:val="002506A0"/>
    <w:rsid w:val="00250F67"/>
    <w:rsid w:val="0025108A"/>
    <w:rsid w:val="00251293"/>
    <w:rsid w:val="00251F76"/>
    <w:rsid w:val="00252B2F"/>
    <w:rsid w:val="002538AB"/>
    <w:rsid w:val="00253BAD"/>
    <w:rsid w:val="002541B3"/>
    <w:rsid w:val="0025450B"/>
    <w:rsid w:val="00255234"/>
    <w:rsid w:val="00255656"/>
    <w:rsid w:val="0025617E"/>
    <w:rsid w:val="0025752F"/>
    <w:rsid w:val="00257FCE"/>
    <w:rsid w:val="002601F7"/>
    <w:rsid w:val="0026046B"/>
    <w:rsid w:val="00261694"/>
    <w:rsid w:val="00261698"/>
    <w:rsid w:val="002620D2"/>
    <w:rsid w:val="0026294D"/>
    <w:rsid w:val="002634F2"/>
    <w:rsid w:val="002638DE"/>
    <w:rsid w:val="0026512F"/>
    <w:rsid w:val="00265526"/>
    <w:rsid w:val="00270689"/>
    <w:rsid w:val="00270865"/>
    <w:rsid w:val="0027157D"/>
    <w:rsid w:val="00271C8D"/>
    <w:rsid w:val="0027223C"/>
    <w:rsid w:val="00273642"/>
    <w:rsid w:val="00275C1A"/>
    <w:rsid w:val="00276F27"/>
    <w:rsid w:val="00277594"/>
    <w:rsid w:val="0027777A"/>
    <w:rsid w:val="002778BF"/>
    <w:rsid w:val="00284535"/>
    <w:rsid w:val="00284CA6"/>
    <w:rsid w:val="00286280"/>
    <w:rsid w:val="00286A62"/>
    <w:rsid w:val="00286AA5"/>
    <w:rsid w:val="0028773D"/>
    <w:rsid w:val="002879A8"/>
    <w:rsid w:val="00287EAF"/>
    <w:rsid w:val="002901DC"/>
    <w:rsid w:val="002924C1"/>
    <w:rsid w:val="00292726"/>
    <w:rsid w:val="0029408E"/>
    <w:rsid w:val="00294A35"/>
    <w:rsid w:val="00294AA9"/>
    <w:rsid w:val="00294DEB"/>
    <w:rsid w:val="0029558E"/>
    <w:rsid w:val="00295C25"/>
    <w:rsid w:val="002961BC"/>
    <w:rsid w:val="002968F6"/>
    <w:rsid w:val="002973A4"/>
    <w:rsid w:val="002979AC"/>
    <w:rsid w:val="00297ADE"/>
    <w:rsid w:val="00297EE9"/>
    <w:rsid w:val="002A12B9"/>
    <w:rsid w:val="002A3670"/>
    <w:rsid w:val="002A391A"/>
    <w:rsid w:val="002A42FB"/>
    <w:rsid w:val="002A60FD"/>
    <w:rsid w:val="002A7015"/>
    <w:rsid w:val="002A7D22"/>
    <w:rsid w:val="002B3351"/>
    <w:rsid w:val="002B3637"/>
    <w:rsid w:val="002B48D2"/>
    <w:rsid w:val="002B5316"/>
    <w:rsid w:val="002B53DB"/>
    <w:rsid w:val="002B54CB"/>
    <w:rsid w:val="002B5C33"/>
    <w:rsid w:val="002C0A67"/>
    <w:rsid w:val="002C1014"/>
    <w:rsid w:val="002C1083"/>
    <w:rsid w:val="002C1330"/>
    <w:rsid w:val="002C24DF"/>
    <w:rsid w:val="002C3ED1"/>
    <w:rsid w:val="002C5403"/>
    <w:rsid w:val="002C6BF0"/>
    <w:rsid w:val="002C724F"/>
    <w:rsid w:val="002C76D0"/>
    <w:rsid w:val="002D0DDF"/>
    <w:rsid w:val="002D163D"/>
    <w:rsid w:val="002D1C50"/>
    <w:rsid w:val="002D269E"/>
    <w:rsid w:val="002D2F24"/>
    <w:rsid w:val="002D3F79"/>
    <w:rsid w:val="002D4211"/>
    <w:rsid w:val="002D441C"/>
    <w:rsid w:val="002D4703"/>
    <w:rsid w:val="002D569E"/>
    <w:rsid w:val="002D5922"/>
    <w:rsid w:val="002D74F1"/>
    <w:rsid w:val="002E05D5"/>
    <w:rsid w:val="002E0C67"/>
    <w:rsid w:val="002E157C"/>
    <w:rsid w:val="002E1942"/>
    <w:rsid w:val="002E25F7"/>
    <w:rsid w:val="002E3275"/>
    <w:rsid w:val="002E39BF"/>
    <w:rsid w:val="002E5297"/>
    <w:rsid w:val="002E55DB"/>
    <w:rsid w:val="002E5C13"/>
    <w:rsid w:val="002E6829"/>
    <w:rsid w:val="002E6BAF"/>
    <w:rsid w:val="002F027F"/>
    <w:rsid w:val="002F02B9"/>
    <w:rsid w:val="002F03DE"/>
    <w:rsid w:val="002F1493"/>
    <w:rsid w:val="002F15E0"/>
    <w:rsid w:val="002F197D"/>
    <w:rsid w:val="002F1BA1"/>
    <w:rsid w:val="002F2AD8"/>
    <w:rsid w:val="002F2C04"/>
    <w:rsid w:val="002F3661"/>
    <w:rsid w:val="002F3B20"/>
    <w:rsid w:val="002F3FC0"/>
    <w:rsid w:val="002F4BF1"/>
    <w:rsid w:val="002F5030"/>
    <w:rsid w:val="002F6D06"/>
    <w:rsid w:val="0030103E"/>
    <w:rsid w:val="00302B4B"/>
    <w:rsid w:val="00303356"/>
    <w:rsid w:val="00303785"/>
    <w:rsid w:val="003039F0"/>
    <w:rsid w:val="0030456F"/>
    <w:rsid w:val="00305F65"/>
    <w:rsid w:val="00306042"/>
    <w:rsid w:val="0030676A"/>
    <w:rsid w:val="00307059"/>
    <w:rsid w:val="00310173"/>
    <w:rsid w:val="003101FA"/>
    <w:rsid w:val="00312341"/>
    <w:rsid w:val="00314F7F"/>
    <w:rsid w:val="00314FBF"/>
    <w:rsid w:val="00315038"/>
    <w:rsid w:val="00315A0C"/>
    <w:rsid w:val="00315ACC"/>
    <w:rsid w:val="00316252"/>
    <w:rsid w:val="003174CA"/>
    <w:rsid w:val="00317FCC"/>
    <w:rsid w:val="00320BF2"/>
    <w:rsid w:val="003211CB"/>
    <w:rsid w:val="00321636"/>
    <w:rsid w:val="00322BA9"/>
    <w:rsid w:val="00323C52"/>
    <w:rsid w:val="0032504E"/>
    <w:rsid w:val="00325161"/>
    <w:rsid w:val="00325279"/>
    <w:rsid w:val="003254A0"/>
    <w:rsid w:val="0032593C"/>
    <w:rsid w:val="003260E6"/>
    <w:rsid w:val="00326769"/>
    <w:rsid w:val="00330187"/>
    <w:rsid w:val="00330A74"/>
    <w:rsid w:val="00330B3F"/>
    <w:rsid w:val="003311D9"/>
    <w:rsid w:val="00331F69"/>
    <w:rsid w:val="00332332"/>
    <w:rsid w:val="00332BEF"/>
    <w:rsid w:val="00333A46"/>
    <w:rsid w:val="00334363"/>
    <w:rsid w:val="00337C3F"/>
    <w:rsid w:val="003405D8"/>
    <w:rsid w:val="00340973"/>
    <w:rsid w:val="00341522"/>
    <w:rsid w:val="003415A4"/>
    <w:rsid w:val="00342202"/>
    <w:rsid w:val="00342720"/>
    <w:rsid w:val="00342CDE"/>
    <w:rsid w:val="00343495"/>
    <w:rsid w:val="0034386E"/>
    <w:rsid w:val="00343C47"/>
    <w:rsid w:val="003448DE"/>
    <w:rsid w:val="00347A07"/>
    <w:rsid w:val="00347CC2"/>
    <w:rsid w:val="0035136F"/>
    <w:rsid w:val="003516BF"/>
    <w:rsid w:val="00351772"/>
    <w:rsid w:val="003517BC"/>
    <w:rsid w:val="00352545"/>
    <w:rsid w:val="003527B1"/>
    <w:rsid w:val="003527EB"/>
    <w:rsid w:val="00352DCE"/>
    <w:rsid w:val="00353990"/>
    <w:rsid w:val="00353B46"/>
    <w:rsid w:val="00353DE8"/>
    <w:rsid w:val="00356500"/>
    <w:rsid w:val="00357D89"/>
    <w:rsid w:val="00361312"/>
    <w:rsid w:val="00361A49"/>
    <w:rsid w:val="00363066"/>
    <w:rsid w:val="00363429"/>
    <w:rsid w:val="00364C14"/>
    <w:rsid w:val="0036544F"/>
    <w:rsid w:val="00366A49"/>
    <w:rsid w:val="003673FD"/>
    <w:rsid w:val="00367401"/>
    <w:rsid w:val="00367830"/>
    <w:rsid w:val="00370FC4"/>
    <w:rsid w:val="00371CB0"/>
    <w:rsid w:val="00371F66"/>
    <w:rsid w:val="0037294A"/>
    <w:rsid w:val="003739AE"/>
    <w:rsid w:val="00373C3C"/>
    <w:rsid w:val="00374090"/>
    <w:rsid w:val="00374DF4"/>
    <w:rsid w:val="00375BDA"/>
    <w:rsid w:val="0037600E"/>
    <w:rsid w:val="003774DD"/>
    <w:rsid w:val="0037752D"/>
    <w:rsid w:val="00380463"/>
    <w:rsid w:val="00381642"/>
    <w:rsid w:val="00381E8D"/>
    <w:rsid w:val="00382F62"/>
    <w:rsid w:val="003837C6"/>
    <w:rsid w:val="00384049"/>
    <w:rsid w:val="003841D5"/>
    <w:rsid w:val="00384BDA"/>
    <w:rsid w:val="003850F6"/>
    <w:rsid w:val="00386D1D"/>
    <w:rsid w:val="0039021B"/>
    <w:rsid w:val="003905BF"/>
    <w:rsid w:val="00391D0C"/>
    <w:rsid w:val="00392006"/>
    <w:rsid w:val="0039230D"/>
    <w:rsid w:val="00392C01"/>
    <w:rsid w:val="00392D0A"/>
    <w:rsid w:val="00393AD0"/>
    <w:rsid w:val="00393E67"/>
    <w:rsid w:val="00394C44"/>
    <w:rsid w:val="00395480"/>
    <w:rsid w:val="0039717B"/>
    <w:rsid w:val="00397EA0"/>
    <w:rsid w:val="003A011E"/>
    <w:rsid w:val="003A0F7C"/>
    <w:rsid w:val="003A117B"/>
    <w:rsid w:val="003A2976"/>
    <w:rsid w:val="003A2FB4"/>
    <w:rsid w:val="003A37C8"/>
    <w:rsid w:val="003A42FD"/>
    <w:rsid w:val="003A45E4"/>
    <w:rsid w:val="003A682A"/>
    <w:rsid w:val="003B1F0A"/>
    <w:rsid w:val="003B4FC4"/>
    <w:rsid w:val="003B55A9"/>
    <w:rsid w:val="003B5E5A"/>
    <w:rsid w:val="003B61C8"/>
    <w:rsid w:val="003B69CE"/>
    <w:rsid w:val="003B7B75"/>
    <w:rsid w:val="003B7CAA"/>
    <w:rsid w:val="003C013C"/>
    <w:rsid w:val="003C19A7"/>
    <w:rsid w:val="003C1F40"/>
    <w:rsid w:val="003C249B"/>
    <w:rsid w:val="003C24D3"/>
    <w:rsid w:val="003C2555"/>
    <w:rsid w:val="003C2567"/>
    <w:rsid w:val="003C50AF"/>
    <w:rsid w:val="003C52B4"/>
    <w:rsid w:val="003C599F"/>
    <w:rsid w:val="003C6159"/>
    <w:rsid w:val="003C6270"/>
    <w:rsid w:val="003C6BE1"/>
    <w:rsid w:val="003C72D0"/>
    <w:rsid w:val="003C7FB3"/>
    <w:rsid w:val="003D0005"/>
    <w:rsid w:val="003D03C4"/>
    <w:rsid w:val="003D0BD3"/>
    <w:rsid w:val="003D0F67"/>
    <w:rsid w:val="003D2055"/>
    <w:rsid w:val="003D22AC"/>
    <w:rsid w:val="003D2D6D"/>
    <w:rsid w:val="003D5A07"/>
    <w:rsid w:val="003E06A6"/>
    <w:rsid w:val="003E0D98"/>
    <w:rsid w:val="003E13D0"/>
    <w:rsid w:val="003E1E20"/>
    <w:rsid w:val="003E2314"/>
    <w:rsid w:val="003E3217"/>
    <w:rsid w:val="003E3389"/>
    <w:rsid w:val="003E3D4A"/>
    <w:rsid w:val="003E5A2A"/>
    <w:rsid w:val="003E5D6E"/>
    <w:rsid w:val="003E6105"/>
    <w:rsid w:val="003E6D87"/>
    <w:rsid w:val="003E71D2"/>
    <w:rsid w:val="003F02E9"/>
    <w:rsid w:val="003F0383"/>
    <w:rsid w:val="003F1739"/>
    <w:rsid w:val="003F2C82"/>
    <w:rsid w:val="003F2E73"/>
    <w:rsid w:val="003F356B"/>
    <w:rsid w:val="003F4519"/>
    <w:rsid w:val="003F54EE"/>
    <w:rsid w:val="003F7B71"/>
    <w:rsid w:val="0040073C"/>
    <w:rsid w:val="004015FF"/>
    <w:rsid w:val="0040232D"/>
    <w:rsid w:val="004033AB"/>
    <w:rsid w:val="00403AC2"/>
    <w:rsid w:val="00404733"/>
    <w:rsid w:val="00404B63"/>
    <w:rsid w:val="00405243"/>
    <w:rsid w:val="00406432"/>
    <w:rsid w:val="00411962"/>
    <w:rsid w:val="0041199C"/>
    <w:rsid w:val="004119DD"/>
    <w:rsid w:val="00412BFD"/>
    <w:rsid w:val="00413787"/>
    <w:rsid w:val="00413850"/>
    <w:rsid w:val="00413F51"/>
    <w:rsid w:val="00414D7A"/>
    <w:rsid w:val="004150C0"/>
    <w:rsid w:val="004154E2"/>
    <w:rsid w:val="00415BC1"/>
    <w:rsid w:val="004164F2"/>
    <w:rsid w:val="0041696A"/>
    <w:rsid w:val="00417A77"/>
    <w:rsid w:val="00417CF1"/>
    <w:rsid w:val="00420FC4"/>
    <w:rsid w:val="00421556"/>
    <w:rsid w:val="004216BA"/>
    <w:rsid w:val="00422023"/>
    <w:rsid w:val="0042258C"/>
    <w:rsid w:val="00422E20"/>
    <w:rsid w:val="004234A2"/>
    <w:rsid w:val="00424B8B"/>
    <w:rsid w:val="0042516A"/>
    <w:rsid w:val="004257D7"/>
    <w:rsid w:val="004258D1"/>
    <w:rsid w:val="00425A37"/>
    <w:rsid w:val="00426711"/>
    <w:rsid w:val="00426994"/>
    <w:rsid w:val="004275D4"/>
    <w:rsid w:val="00427735"/>
    <w:rsid w:val="00427BF5"/>
    <w:rsid w:val="00430AED"/>
    <w:rsid w:val="00430CC1"/>
    <w:rsid w:val="004311C2"/>
    <w:rsid w:val="00431DCF"/>
    <w:rsid w:val="004320AC"/>
    <w:rsid w:val="004327CA"/>
    <w:rsid w:val="00432CB5"/>
    <w:rsid w:val="00433E44"/>
    <w:rsid w:val="00434099"/>
    <w:rsid w:val="00434D21"/>
    <w:rsid w:val="00434FC8"/>
    <w:rsid w:val="004352CF"/>
    <w:rsid w:val="004361CF"/>
    <w:rsid w:val="00436CC8"/>
    <w:rsid w:val="00436F8F"/>
    <w:rsid w:val="00437962"/>
    <w:rsid w:val="00441FAC"/>
    <w:rsid w:val="00442892"/>
    <w:rsid w:val="00443AC5"/>
    <w:rsid w:val="00443E7D"/>
    <w:rsid w:val="00444DCA"/>
    <w:rsid w:val="0044704B"/>
    <w:rsid w:val="00450D62"/>
    <w:rsid w:val="0045173E"/>
    <w:rsid w:val="00451AA6"/>
    <w:rsid w:val="0045237B"/>
    <w:rsid w:val="0045251F"/>
    <w:rsid w:val="00452BB4"/>
    <w:rsid w:val="0045342E"/>
    <w:rsid w:val="004540BF"/>
    <w:rsid w:val="00454212"/>
    <w:rsid w:val="00454955"/>
    <w:rsid w:val="00454F5C"/>
    <w:rsid w:val="0045557E"/>
    <w:rsid w:val="00455FE0"/>
    <w:rsid w:val="004568A5"/>
    <w:rsid w:val="00456C27"/>
    <w:rsid w:val="00457107"/>
    <w:rsid w:val="0045754F"/>
    <w:rsid w:val="0045764C"/>
    <w:rsid w:val="00457BC5"/>
    <w:rsid w:val="00460430"/>
    <w:rsid w:val="00460635"/>
    <w:rsid w:val="00462579"/>
    <w:rsid w:val="004625A3"/>
    <w:rsid w:val="00463019"/>
    <w:rsid w:val="004638D1"/>
    <w:rsid w:val="00463963"/>
    <w:rsid w:val="00463A0D"/>
    <w:rsid w:val="00464E61"/>
    <w:rsid w:val="0046523F"/>
    <w:rsid w:val="00465770"/>
    <w:rsid w:val="00466EC7"/>
    <w:rsid w:val="00467B35"/>
    <w:rsid w:val="00470050"/>
    <w:rsid w:val="00470066"/>
    <w:rsid w:val="00472A2F"/>
    <w:rsid w:val="00473022"/>
    <w:rsid w:val="004730A0"/>
    <w:rsid w:val="00473787"/>
    <w:rsid w:val="00474873"/>
    <w:rsid w:val="00474996"/>
    <w:rsid w:val="00474C0D"/>
    <w:rsid w:val="00475792"/>
    <w:rsid w:val="00475D23"/>
    <w:rsid w:val="00476069"/>
    <w:rsid w:val="00477DCC"/>
    <w:rsid w:val="00477FE5"/>
    <w:rsid w:val="004805DB"/>
    <w:rsid w:val="00480C1D"/>
    <w:rsid w:val="00480CDD"/>
    <w:rsid w:val="004810E5"/>
    <w:rsid w:val="00481A35"/>
    <w:rsid w:val="0048381B"/>
    <w:rsid w:val="00483AAA"/>
    <w:rsid w:val="00483F5F"/>
    <w:rsid w:val="00484EC3"/>
    <w:rsid w:val="00484FBD"/>
    <w:rsid w:val="00485617"/>
    <w:rsid w:val="00485E9E"/>
    <w:rsid w:val="00486A99"/>
    <w:rsid w:val="00487659"/>
    <w:rsid w:val="004876AB"/>
    <w:rsid w:val="00490308"/>
    <w:rsid w:val="00490CD0"/>
    <w:rsid w:val="00490D65"/>
    <w:rsid w:val="004916B8"/>
    <w:rsid w:val="00492203"/>
    <w:rsid w:val="00492F58"/>
    <w:rsid w:val="004953BB"/>
    <w:rsid w:val="0049642D"/>
    <w:rsid w:val="00496B14"/>
    <w:rsid w:val="00497AAD"/>
    <w:rsid w:val="00497D6C"/>
    <w:rsid w:val="004A0308"/>
    <w:rsid w:val="004A1092"/>
    <w:rsid w:val="004A135E"/>
    <w:rsid w:val="004A263E"/>
    <w:rsid w:val="004A2AE3"/>
    <w:rsid w:val="004A2C6B"/>
    <w:rsid w:val="004A34EA"/>
    <w:rsid w:val="004A415D"/>
    <w:rsid w:val="004A43AE"/>
    <w:rsid w:val="004A51F6"/>
    <w:rsid w:val="004A60A2"/>
    <w:rsid w:val="004A6145"/>
    <w:rsid w:val="004A6835"/>
    <w:rsid w:val="004B07AC"/>
    <w:rsid w:val="004B0D73"/>
    <w:rsid w:val="004B14BB"/>
    <w:rsid w:val="004B2197"/>
    <w:rsid w:val="004B2B3D"/>
    <w:rsid w:val="004B367C"/>
    <w:rsid w:val="004B3F8F"/>
    <w:rsid w:val="004B445A"/>
    <w:rsid w:val="004B5E48"/>
    <w:rsid w:val="004B6075"/>
    <w:rsid w:val="004B6F3C"/>
    <w:rsid w:val="004B7665"/>
    <w:rsid w:val="004B7A13"/>
    <w:rsid w:val="004B7DB4"/>
    <w:rsid w:val="004C03F9"/>
    <w:rsid w:val="004C14E1"/>
    <w:rsid w:val="004C30F9"/>
    <w:rsid w:val="004C4102"/>
    <w:rsid w:val="004C4ED4"/>
    <w:rsid w:val="004C52FC"/>
    <w:rsid w:val="004C54AA"/>
    <w:rsid w:val="004C5869"/>
    <w:rsid w:val="004C66B7"/>
    <w:rsid w:val="004C6D49"/>
    <w:rsid w:val="004C71BF"/>
    <w:rsid w:val="004C782B"/>
    <w:rsid w:val="004D14E7"/>
    <w:rsid w:val="004D1B12"/>
    <w:rsid w:val="004D4F65"/>
    <w:rsid w:val="004D5AC1"/>
    <w:rsid w:val="004D5E99"/>
    <w:rsid w:val="004D60DD"/>
    <w:rsid w:val="004D6F84"/>
    <w:rsid w:val="004D6F98"/>
    <w:rsid w:val="004D7857"/>
    <w:rsid w:val="004E0CBC"/>
    <w:rsid w:val="004E1F59"/>
    <w:rsid w:val="004E24F4"/>
    <w:rsid w:val="004E2849"/>
    <w:rsid w:val="004E2877"/>
    <w:rsid w:val="004E43BF"/>
    <w:rsid w:val="004E5DA6"/>
    <w:rsid w:val="004E6502"/>
    <w:rsid w:val="004E70B2"/>
    <w:rsid w:val="004E77BC"/>
    <w:rsid w:val="004E7C88"/>
    <w:rsid w:val="004F0F96"/>
    <w:rsid w:val="004F3759"/>
    <w:rsid w:val="004F40F4"/>
    <w:rsid w:val="004F46DD"/>
    <w:rsid w:val="00500715"/>
    <w:rsid w:val="00501B3A"/>
    <w:rsid w:val="0050238B"/>
    <w:rsid w:val="00503253"/>
    <w:rsid w:val="00504287"/>
    <w:rsid w:val="005050B6"/>
    <w:rsid w:val="00505356"/>
    <w:rsid w:val="00506D06"/>
    <w:rsid w:val="00507BE9"/>
    <w:rsid w:val="005101B5"/>
    <w:rsid w:val="005102BA"/>
    <w:rsid w:val="00510326"/>
    <w:rsid w:val="0051076D"/>
    <w:rsid w:val="00510BDE"/>
    <w:rsid w:val="005116B4"/>
    <w:rsid w:val="00511893"/>
    <w:rsid w:val="00511AAA"/>
    <w:rsid w:val="00511C0B"/>
    <w:rsid w:val="005126C7"/>
    <w:rsid w:val="005126E6"/>
    <w:rsid w:val="005140CB"/>
    <w:rsid w:val="0051485D"/>
    <w:rsid w:val="005148E5"/>
    <w:rsid w:val="005153F7"/>
    <w:rsid w:val="00515FAD"/>
    <w:rsid w:val="00516B4D"/>
    <w:rsid w:val="00520310"/>
    <w:rsid w:val="0052037A"/>
    <w:rsid w:val="00520468"/>
    <w:rsid w:val="00520C82"/>
    <w:rsid w:val="00520D41"/>
    <w:rsid w:val="005243D4"/>
    <w:rsid w:val="005254E8"/>
    <w:rsid w:val="00525E00"/>
    <w:rsid w:val="00526021"/>
    <w:rsid w:val="00526AD5"/>
    <w:rsid w:val="00527B4C"/>
    <w:rsid w:val="00530371"/>
    <w:rsid w:val="005307D7"/>
    <w:rsid w:val="00530D3E"/>
    <w:rsid w:val="005318DF"/>
    <w:rsid w:val="00532A5D"/>
    <w:rsid w:val="00533ABC"/>
    <w:rsid w:val="005342D7"/>
    <w:rsid w:val="005349C2"/>
    <w:rsid w:val="00535E0C"/>
    <w:rsid w:val="00535E7B"/>
    <w:rsid w:val="00536240"/>
    <w:rsid w:val="00536673"/>
    <w:rsid w:val="005376FA"/>
    <w:rsid w:val="0053773D"/>
    <w:rsid w:val="005405A8"/>
    <w:rsid w:val="00540968"/>
    <w:rsid w:val="00540AD8"/>
    <w:rsid w:val="005471B3"/>
    <w:rsid w:val="0055086D"/>
    <w:rsid w:val="00551C02"/>
    <w:rsid w:val="0055251B"/>
    <w:rsid w:val="00553417"/>
    <w:rsid w:val="00553563"/>
    <w:rsid w:val="005536BA"/>
    <w:rsid w:val="00554B97"/>
    <w:rsid w:val="0055523F"/>
    <w:rsid w:val="00555B68"/>
    <w:rsid w:val="005602B3"/>
    <w:rsid w:val="00560C35"/>
    <w:rsid w:val="005610C8"/>
    <w:rsid w:val="00561202"/>
    <w:rsid w:val="00561825"/>
    <w:rsid w:val="00561BFF"/>
    <w:rsid w:val="00561C98"/>
    <w:rsid w:val="00562480"/>
    <w:rsid w:val="00562C89"/>
    <w:rsid w:val="005649BF"/>
    <w:rsid w:val="00564AAE"/>
    <w:rsid w:val="0056555F"/>
    <w:rsid w:val="00565A75"/>
    <w:rsid w:val="00565B27"/>
    <w:rsid w:val="00565F42"/>
    <w:rsid w:val="005660A2"/>
    <w:rsid w:val="0056676A"/>
    <w:rsid w:val="00566E97"/>
    <w:rsid w:val="00570665"/>
    <w:rsid w:val="00570FE8"/>
    <w:rsid w:val="005718A3"/>
    <w:rsid w:val="005727AB"/>
    <w:rsid w:val="005733A0"/>
    <w:rsid w:val="005735CD"/>
    <w:rsid w:val="00573B77"/>
    <w:rsid w:val="00573FC3"/>
    <w:rsid w:val="005742D5"/>
    <w:rsid w:val="00574A1E"/>
    <w:rsid w:val="005764DF"/>
    <w:rsid w:val="005776E5"/>
    <w:rsid w:val="0058039F"/>
    <w:rsid w:val="00580C6D"/>
    <w:rsid w:val="0058575F"/>
    <w:rsid w:val="00586415"/>
    <w:rsid w:val="00586640"/>
    <w:rsid w:val="00586DB7"/>
    <w:rsid w:val="00586EBD"/>
    <w:rsid w:val="0059079C"/>
    <w:rsid w:val="005909FB"/>
    <w:rsid w:val="00590E9A"/>
    <w:rsid w:val="00591292"/>
    <w:rsid w:val="0059153D"/>
    <w:rsid w:val="0059176B"/>
    <w:rsid w:val="00591BFC"/>
    <w:rsid w:val="00591F47"/>
    <w:rsid w:val="00592C9E"/>
    <w:rsid w:val="00592F36"/>
    <w:rsid w:val="0059300F"/>
    <w:rsid w:val="00596CB9"/>
    <w:rsid w:val="00596E94"/>
    <w:rsid w:val="005979DF"/>
    <w:rsid w:val="00597F89"/>
    <w:rsid w:val="005A1DF5"/>
    <w:rsid w:val="005A2266"/>
    <w:rsid w:val="005A474C"/>
    <w:rsid w:val="005A5262"/>
    <w:rsid w:val="005A6436"/>
    <w:rsid w:val="005A7CEE"/>
    <w:rsid w:val="005A7F70"/>
    <w:rsid w:val="005B1D6A"/>
    <w:rsid w:val="005B1EE6"/>
    <w:rsid w:val="005B27B6"/>
    <w:rsid w:val="005B3784"/>
    <w:rsid w:val="005B5F62"/>
    <w:rsid w:val="005B631F"/>
    <w:rsid w:val="005B6DF0"/>
    <w:rsid w:val="005C09C1"/>
    <w:rsid w:val="005C0CF5"/>
    <w:rsid w:val="005C0D29"/>
    <w:rsid w:val="005C113C"/>
    <w:rsid w:val="005C45B1"/>
    <w:rsid w:val="005C5584"/>
    <w:rsid w:val="005C57B3"/>
    <w:rsid w:val="005C5F43"/>
    <w:rsid w:val="005D05BC"/>
    <w:rsid w:val="005D14E9"/>
    <w:rsid w:val="005D1DC9"/>
    <w:rsid w:val="005D22A5"/>
    <w:rsid w:val="005D28C9"/>
    <w:rsid w:val="005D30AA"/>
    <w:rsid w:val="005D352F"/>
    <w:rsid w:val="005D4EF9"/>
    <w:rsid w:val="005D50AF"/>
    <w:rsid w:val="005D5990"/>
    <w:rsid w:val="005D5DD5"/>
    <w:rsid w:val="005D5E2B"/>
    <w:rsid w:val="005D6000"/>
    <w:rsid w:val="005D74FC"/>
    <w:rsid w:val="005E056B"/>
    <w:rsid w:val="005E06B1"/>
    <w:rsid w:val="005E0AFC"/>
    <w:rsid w:val="005E1AFE"/>
    <w:rsid w:val="005E2535"/>
    <w:rsid w:val="005E32DE"/>
    <w:rsid w:val="005E4CC2"/>
    <w:rsid w:val="005E4E3F"/>
    <w:rsid w:val="005E4EDA"/>
    <w:rsid w:val="005E4FE1"/>
    <w:rsid w:val="005E5324"/>
    <w:rsid w:val="005E75E8"/>
    <w:rsid w:val="005E79CE"/>
    <w:rsid w:val="005E7F30"/>
    <w:rsid w:val="005F0AE7"/>
    <w:rsid w:val="005F0D2D"/>
    <w:rsid w:val="005F110D"/>
    <w:rsid w:val="005F20D4"/>
    <w:rsid w:val="005F2165"/>
    <w:rsid w:val="005F2355"/>
    <w:rsid w:val="005F538E"/>
    <w:rsid w:val="005F5554"/>
    <w:rsid w:val="006001AC"/>
    <w:rsid w:val="0060069A"/>
    <w:rsid w:val="006009A5"/>
    <w:rsid w:val="00600BB5"/>
    <w:rsid w:val="0060242E"/>
    <w:rsid w:val="00602DC8"/>
    <w:rsid w:val="00603D72"/>
    <w:rsid w:val="00603E08"/>
    <w:rsid w:val="00604918"/>
    <w:rsid w:val="00604B53"/>
    <w:rsid w:val="00605E06"/>
    <w:rsid w:val="00606258"/>
    <w:rsid w:val="00607862"/>
    <w:rsid w:val="006109E2"/>
    <w:rsid w:val="00610C8C"/>
    <w:rsid w:val="00611088"/>
    <w:rsid w:val="006111CA"/>
    <w:rsid w:val="006119E8"/>
    <w:rsid w:val="0061216A"/>
    <w:rsid w:val="006125B2"/>
    <w:rsid w:val="0061330A"/>
    <w:rsid w:val="006136EC"/>
    <w:rsid w:val="00613F8E"/>
    <w:rsid w:val="00614DE5"/>
    <w:rsid w:val="00614EE2"/>
    <w:rsid w:val="00615752"/>
    <w:rsid w:val="006158B2"/>
    <w:rsid w:val="00615BC8"/>
    <w:rsid w:val="00616A39"/>
    <w:rsid w:val="006172FF"/>
    <w:rsid w:val="006175E1"/>
    <w:rsid w:val="00617F39"/>
    <w:rsid w:val="0062064C"/>
    <w:rsid w:val="00620967"/>
    <w:rsid w:val="00620F73"/>
    <w:rsid w:val="00622579"/>
    <w:rsid w:val="00622EEC"/>
    <w:rsid w:val="00623CD3"/>
    <w:rsid w:val="00625493"/>
    <w:rsid w:val="006255A3"/>
    <w:rsid w:val="0062735E"/>
    <w:rsid w:val="00627950"/>
    <w:rsid w:val="00627A34"/>
    <w:rsid w:val="0063000B"/>
    <w:rsid w:val="006306CF"/>
    <w:rsid w:val="00632D15"/>
    <w:rsid w:val="00635D28"/>
    <w:rsid w:val="00636A66"/>
    <w:rsid w:val="00636AAB"/>
    <w:rsid w:val="0063755B"/>
    <w:rsid w:val="00637C02"/>
    <w:rsid w:val="00637DD9"/>
    <w:rsid w:val="00642F82"/>
    <w:rsid w:val="00643536"/>
    <w:rsid w:val="00646CCD"/>
    <w:rsid w:val="006504A7"/>
    <w:rsid w:val="0065125A"/>
    <w:rsid w:val="0065179E"/>
    <w:rsid w:val="006522A5"/>
    <w:rsid w:val="006529E1"/>
    <w:rsid w:val="00653001"/>
    <w:rsid w:val="00653AFE"/>
    <w:rsid w:val="00654B7C"/>
    <w:rsid w:val="00655519"/>
    <w:rsid w:val="00657916"/>
    <w:rsid w:val="00657934"/>
    <w:rsid w:val="00657AC8"/>
    <w:rsid w:val="00657D00"/>
    <w:rsid w:val="00657D0A"/>
    <w:rsid w:val="00657E30"/>
    <w:rsid w:val="00660DEE"/>
    <w:rsid w:val="0066578A"/>
    <w:rsid w:val="006701AB"/>
    <w:rsid w:val="00672144"/>
    <w:rsid w:val="006756C0"/>
    <w:rsid w:val="006760DE"/>
    <w:rsid w:val="006762BC"/>
    <w:rsid w:val="00676F49"/>
    <w:rsid w:val="00677312"/>
    <w:rsid w:val="00680308"/>
    <w:rsid w:val="0068093C"/>
    <w:rsid w:val="00680C2F"/>
    <w:rsid w:val="006810EF"/>
    <w:rsid w:val="00682BEB"/>
    <w:rsid w:val="0068364E"/>
    <w:rsid w:val="0068492D"/>
    <w:rsid w:val="00684B03"/>
    <w:rsid w:val="00684B12"/>
    <w:rsid w:val="006850EC"/>
    <w:rsid w:val="006854D6"/>
    <w:rsid w:val="006857CD"/>
    <w:rsid w:val="00685A41"/>
    <w:rsid w:val="00685E86"/>
    <w:rsid w:val="00687056"/>
    <w:rsid w:val="00687428"/>
    <w:rsid w:val="00687CDD"/>
    <w:rsid w:val="00691D1B"/>
    <w:rsid w:val="006934F0"/>
    <w:rsid w:val="006955D9"/>
    <w:rsid w:val="00697353"/>
    <w:rsid w:val="0069746E"/>
    <w:rsid w:val="006A0230"/>
    <w:rsid w:val="006A0E8D"/>
    <w:rsid w:val="006A284D"/>
    <w:rsid w:val="006A2F4D"/>
    <w:rsid w:val="006A3485"/>
    <w:rsid w:val="006A36E2"/>
    <w:rsid w:val="006A504D"/>
    <w:rsid w:val="006A5139"/>
    <w:rsid w:val="006B0A85"/>
    <w:rsid w:val="006B0B67"/>
    <w:rsid w:val="006B17A3"/>
    <w:rsid w:val="006B1F34"/>
    <w:rsid w:val="006B33CD"/>
    <w:rsid w:val="006B53A6"/>
    <w:rsid w:val="006B5BE0"/>
    <w:rsid w:val="006B5F9A"/>
    <w:rsid w:val="006C0BCE"/>
    <w:rsid w:val="006C0D2D"/>
    <w:rsid w:val="006C196C"/>
    <w:rsid w:val="006C3B30"/>
    <w:rsid w:val="006C49F6"/>
    <w:rsid w:val="006C4EA0"/>
    <w:rsid w:val="006C5749"/>
    <w:rsid w:val="006C787D"/>
    <w:rsid w:val="006C7D73"/>
    <w:rsid w:val="006D0A31"/>
    <w:rsid w:val="006D0A41"/>
    <w:rsid w:val="006D1B8B"/>
    <w:rsid w:val="006D28F9"/>
    <w:rsid w:val="006D2DCC"/>
    <w:rsid w:val="006D2E05"/>
    <w:rsid w:val="006D3BFC"/>
    <w:rsid w:val="006D4019"/>
    <w:rsid w:val="006D4F4A"/>
    <w:rsid w:val="006D566F"/>
    <w:rsid w:val="006D618B"/>
    <w:rsid w:val="006D649F"/>
    <w:rsid w:val="006D69BC"/>
    <w:rsid w:val="006E03E6"/>
    <w:rsid w:val="006E0C91"/>
    <w:rsid w:val="006E128E"/>
    <w:rsid w:val="006E3DD1"/>
    <w:rsid w:val="006E46E9"/>
    <w:rsid w:val="006E51A4"/>
    <w:rsid w:val="006E527F"/>
    <w:rsid w:val="006E59A0"/>
    <w:rsid w:val="006E652E"/>
    <w:rsid w:val="006E6AE0"/>
    <w:rsid w:val="006E6E6C"/>
    <w:rsid w:val="006E7549"/>
    <w:rsid w:val="006E77A9"/>
    <w:rsid w:val="006F0A5A"/>
    <w:rsid w:val="006F0CD3"/>
    <w:rsid w:val="006F1592"/>
    <w:rsid w:val="006F252F"/>
    <w:rsid w:val="006F3AE3"/>
    <w:rsid w:val="006F518A"/>
    <w:rsid w:val="006F5765"/>
    <w:rsid w:val="006F59BA"/>
    <w:rsid w:val="006F5D2A"/>
    <w:rsid w:val="006F5F4A"/>
    <w:rsid w:val="006F6FC1"/>
    <w:rsid w:val="00701897"/>
    <w:rsid w:val="00701B70"/>
    <w:rsid w:val="00701CFB"/>
    <w:rsid w:val="00702476"/>
    <w:rsid w:val="007024CA"/>
    <w:rsid w:val="00702CB2"/>
    <w:rsid w:val="007049D6"/>
    <w:rsid w:val="007053CE"/>
    <w:rsid w:val="007058AA"/>
    <w:rsid w:val="00705928"/>
    <w:rsid w:val="0070646C"/>
    <w:rsid w:val="00706769"/>
    <w:rsid w:val="007076E0"/>
    <w:rsid w:val="00707B06"/>
    <w:rsid w:val="00711587"/>
    <w:rsid w:val="00711FA5"/>
    <w:rsid w:val="00712182"/>
    <w:rsid w:val="00712F8A"/>
    <w:rsid w:val="00712FC4"/>
    <w:rsid w:val="00713147"/>
    <w:rsid w:val="0071392D"/>
    <w:rsid w:val="00714581"/>
    <w:rsid w:val="00714948"/>
    <w:rsid w:val="00714DDA"/>
    <w:rsid w:val="00721009"/>
    <w:rsid w:val="00723F9B"/>
    <w:rsid w:val="007249F9"/>
    <w:rsid w:val="00724B4A"/>
    <w:rsid w:val="0072640C"/>
    <w:rsid w:val="00726DF0"/>
    <w:rsid w:val="00727507"/>
    <w:rsid w:val="00727EE6"/>
    <w:rsid w:val="0073056C"/>
    <w:rsid w:val="00730BA0"/>
    <w:rsid w:val="00731119"/>
    <w:rsid w:val="00731124"/>
    <w:rsid w:val="00733813"/>
    <w:rsid w:val="00735615"/>
    <w:rsid w:val="00736A4C"/>
    <w:rsid w:val="00737FB1"/>
    <w:rsid w:val="007405B3"/>
    <w:rsid w:val="00741182"/>
    <w:rsid w:val="00743136"/>
    <w:rsid w:val="007434E9"/>
    <w:rsid w:val="00743B7F"/>
    <w:rsid w:val="0074447D"/>
    <w:rsid w:val="00744612"/>
    <w:rsid w:val="00744EE8"/>
    <w:rsid w:val="00745209"/>
    <w:rsid w:val="00745A13"/>
    <w:rsid w:val="0074611F"/>
    <w:rsid w:val="007462B3"/>
    <w:rsid w:val="007467BD"/>
    <w:rsid w:val="00750012"/>
    <w:rsid w:val="00750841"/>
    <w:rsid w:val="00750B7E"/>
    <w:rsid w:val="0075292E"/>
    <w:rsid w:val="00753F37"/>
    <w:rsid w:val="00754CE1"/>
    <w:rsid w:val="00754E4A"/>
    <w:rsid w:val="007564C6"/>
    <w:rsid w:val="00756649"/>
    <w:rsid w:val="007579F3"/>
    <w:rsid w:val="0076029D"/>
    <w:rsid w:val="00760654"/>
    <w:rsid w:val="00761A36"/>
    <w:rsid w:val="0076246C"/>
    <w:rsid w:val="007629F7"/>
    <w:rsid w:val="00763CE9"/>
    <w:rsid w:val="00763E97"/>
    <w:rsid w:val="00764DA6"/>
    <w:rsid w:val="00766799"/>
    <w:rsid w:val="00766E43"/>
    <w:rsid w:val="007670AA"/>
    <w:rsid w:val="00771814"/>
    <w:rsid w:val="00773B1C"/>
    <w:rsid w:val="007740E4"/>
    <w:rsid w:val="007749E8"/>
    <w:rsid w:val="00774A1A"/>
    <w:rsid w:val="0077538C"/>
    <w:rsid w:val="00775BB5"/>
    <w:rsid w:val="00775E02"/>
    <w:rsid w:val="00776930"/>
    <w:rsid w:val="00777079"/>
    <w:rsid w:val="00777BDC"/>
    <w:rsid w:val="00777BED"/>
    <w:rsid w:val="007800A0"/>
    <w:rsid w:val="0078296B"/>
    <w:rsid w:val="00782D2F"/>
    <w:rsid w:val="00783221"/>
    <w:rsid w:val="007835D1"/>
    <w:rsid w:val="00783A2F"/>
    <w:rsid w:val="00784A58"/>
    <w:rsid w:val="0078583E"/>
    <w:rsid w:val="00786706"/>
    <w:rsid w:val="007867B0"/>
    <w:rsid w:val="007868B0"/>
    <w:rsid w:val="00787771"/>
    <w:rsid w:val="007878AA"/>
    <w:rsid w:val="00790D95"/>
    <w:rsid w:val="00792299"/>
    <w:rsid w:val="007928C9"/>
    <w:rsid w:val="00793BA2"/>
    <w:rsid w:val="00796FD1"/>
    <w:rsid w:val="007A05A1"/>
    <w:rsid w:val="007A0773"/>
    <w:rsid w:val="007A3448"/>
    <w:rsid w:val="007A3BD1"/>
    <w:rsid w:val="007A5445"/>
    <w:rsid w:val="007A60AB"/>
    <w:rsid w:val="007A7A63"/>
    <w:rsid w:val="007B055D"/>
    <w:rsid w:val="007B09DB"/>
    <w:rsid w:val="007B0AA8"/>
    <w:rsid w:val="007B1350"/>
    <w:rsid w:val="007B2398"/>
    <w:rsid w:val="007B250D"/>
    <w:rsid w:val="007B2CF1"/>
    <w:rsid w:val="007B3280"/>
    <w:rsid w:val="007B35CB"/>
    <w:rsid w:val="007B3F58"/>
    <w:rsid w:val="007B42CC"/>
    <w:rsid w:val="007B4DDA"/>
    <w:rsid w:val="007B5057"/>
    <w:rsid w:val="007B50B5"/>
    <w:rsid w:val="007B516D"/>
    <w:rsid w:val="007B52D6"/>
    <w:rsid w:val="007B5F20"/>
    <w:rsid w:val="007B5FAE"/>
    <w:rsid w:val="007C06C6"/>
    <w:rsid w:val="007C07EC"/>
    <w:rsid w:val="007C16BC"/>
    <w:rsid w:val="007C196C"/>
    <w:rsid w:val="007C1A21"/>
    <w:rsid w:val="007C3328"/>
    <w:rsid w:val="007C38EA"/>
    <w:rsid w:val="007C4B4A"/>
    <w:rsid w:val="007C4FBC"/>
    <w:rsid w:val="007C510C"/>
    <w:rsid w:val="007C51C1"/>
    <w:rsid w:val="007C5680"/>
    <w:rsid w:val="007C605B"/>
    <w:rsid w:val="007C769F"/>
    <w:rsid w:val="007D0B8B"/>
    <w:rsid w:val="007D19A9"/>
    <w:rsid w:val="007D205C"/>
    <w:rsid w:val="007D22EC"/>
    <w:rsid w:val="007D23D6"/>
    <w:rsid w:val="007D3113"/>
    <w:rsid w:val="007D314D"/>
    <w:rsid w:val="007D3572"/>
    <w:rsid w:val="007D3E90"/>
    <w:rsid w:val="007D3E92"/>
    <w:rsid w:val="007D41FB"/>
    <w:rsid w:val="007D4857"/>
    <w:rsid w:val="007D4F42"/>
    <w:rsid w:val="007D583C"/>
    <w:rsid w:val="007D6853"/>
    <w:rsid w:val="007D74FB"/>
    <w:rsid w:val="007E0A00"/>
    <w:rsid w:val="007E1B1A"/>
    <w:rsid w:val="007E1DB6"/>
    <w:rsid w:val="007E3D8C"/>
    <w:rsid w:val="007E3EE5"/>
    <w:rsid w:val="007E4A1C"/>
    <w:rsid w:val="007E72A2"/>
    <w:rsid w:val="007E7370"/>
    <w:rsid w:val="007E7516"/>
    <w:rsid w:val="007F05EE"/>
    <w:rsid w:val="007F17A8"/>
    <w:rsid w:val="007F3257"/>
    <w:rsid w:val="007F3A1E"/>
    <w:rsid w:val="007F4073"/>
    <w:rsid w:val="007F5940"/>
    <w:rsid w:val="007F5A32"/>
    <w:rsid w:val="007F684C"/>
    <w:rsid w:val="007F6DF0"/>
    <w:rsid w:val="007F75BB"/>
    <w:rsid w:val="007F7C4F"/>
    <w:rsid w:val="0080026F"/>
    <w:rsid w:val="00800EA7"/>
    <w:rsid w:val="0080122B"/>
    <w:rsid w:val="0080297A"/>
    <w:rsid w:val="00803368"/>
    <w:rsid w:val="00805948"/>
    <w:rsid w:val="008060A0"/>
    <w:rsid w:val="00806CB9"/>
    <w:rsid w:val="00810528"/>
    <w:rsid w:val="00810637"/>
    <w:rsid w:val="008107D6"/>
    <w:rsid w:val="0081164A"/>
    <w:rsid w:val="00811C4B"/>
    <w:rsid w:val="0081201F"/>
    <w:rsid w:val="00812CC6"/>
    <w:rsid w:val="008131A7"/>
    <w:rsid w:val="008131DD"/>
    <w:rsid w:val="0081422B"/>
    <w:rsid w:val="0081449D"/>
    <w:rsid w:val="0081449E"/>
    <w:rsid w:val="008150E2"/>
    <w:rsid w:val="00815F9D"/>
    <w:rsid w:val="008165A4"/>
    <w:rsid w:val="00817990"/>
    <w:rsid w:val="00821DEC"/>
    <w:rsid w:val="00825AF0"/>
    <w:rsid w:val="0082681F"/>
    <w:rsid w:val="00826BAE"/>
    <w:rsid w:val="00826DB2"/>
    <w:rsid w:val="00826F5A"/>
    <w:rsid w:val="008270C4"/>
    <w:rsid w:val="008309E3"/>
    <w:rsid w:val="008317C9"/>
    <w:rsid w:val="00832BE6"/>
    <w:rsid w:val="00833AE0"/>
    <w:rsid w:val="008349B6"/>
    <w:rsid w:val="0083638D"/>
    <w:rsid w:val="00836C94"/>
    <w:rsid w:val="008372C7"/>
    <w:rsid w:val="0083766F"/>
    <w:rsid w:val="00837699"/>
    <w:rsid w:val="008406F3"/>
    <w:rsid w:val="008418E8"/>
    <w:rsid w:val="00842DB8"/>
    <w:rsid w:val="00843137"/>
    <w:rsid w:val="00843FD9"/>
    <w:rsid w:val="008441C2"/>
    <w:rsid w:val="00844D79"/>
    <w:rsid w:val="008458C2"/>
    <w:rsid w:val="0084622A"/>
    <w:rsid w:val="00846574"/>
    <w:rsid w:val="008474F0"/>
    <w:rsid w:val="00847D7F"/>
    <w:rsid w:val="00850632"/>
    <w:rsid w:val="008511BE"/>
    <w:rsid w:val="0085252D"/>
    <w:rsid w:val="008527DF"/>
    <w:rsid w:val="00861488"/>
    <w:rsid w:val="00861505"/>
    <w:rsid w:val="008618EB"/>
    <w:rsid w:val="00862933"/>
    <w:rsid w:val="008629AF"/>
    <w:rsid w:val="00862ABF"/>
    <w:rsid w:val="00862D36"/>
    <w:rsid w:val="0086416A"/>
    <w:rsid w:val="008647EF"/>
    <w:rsid w:val="00864C21"/>
    <w:rsid w:val="0086542F"/>
    <w:rsid w:val="008655E5"/>
    <w:rsid w:val="008658E0"/>
    <w:rsid w:val="00865963"/>
    <w:rsid w:val="0086657B"/>
    <w:rsid w:val="00867E9F"/>
    <w:rsid w:val="008701FD"/>
    <w:rsid w:val="00870335"/>
    <w:rsid w:val="00870BFF"/>
    <w:rsid w:val="0087167F"/>
    <w:rsid w:val="008718A8"/>
    <w:rsid w:val="0087324C"/>
    <w:rsid w:val="00873FE1"/>
    <w:rsid w:val="00874C50"/>
    <w:rsid w:val="00875C66"/>
    <w:rsid w:val="00877B62"/>
    <w:rsid w:val="00877BA8"/>
    <w:rsid w:val="00877D41"/>
    <w:rsid w:val="00880A02"/>
    <w:rsid w:val="00880FAA"/>
    <w:rsid w:val="008816C7"/>
    <w:rsid w:val="00882A7A"/>
    <w:rsid w:val="00882E9C"/>
    <w:rsid w:val="00883A18"/>
    <w:rsid w:val="008843D7"/>
    <w:rsid w:val="008850EC"/>
    <w:rsid w:val="00887128"/>
    <w:rsid w:val="0088728B"/>
    <w:rsid w:val="00890B7B"/>
    <w:rsid w:val="0089198A"/>
    <w:rsid w:val="00892A4D"/>
    <w:rsid w:val="008933AB"/>
    <w:rsid w:val="00894346"/>
    <w:rsid w:val="00894E91"/>
    <w:rsid w:val="0089516D"/>
    <w:rsid w:val="00895274"/>
    <w:rsid w:val="008976C0"/>
    <w:rsid w:val="00897725"/>
    <w:rsid w:val="008A1485"/>
    <w:rsid w:val="008A17BB"/>
    <w:rsid w:val="008A24DF"/>
    <w:rsid w:val="008A34F2"/>
    <w:rsid w:val="008A3E97"/>
    <w:rsid w:val="008A5286"/>
    <w:rsid w:val="008A7270"/>
    <w:rsid w:val="008A7B16"/>
    <w:rsid w:val="008B1BAD"/>
    <w:rsid w:val="008B2F2B"/>
    <w:rsid w:val="008B3FA4"/>
    <w:rsid w:val="008B4D4C"/>
    <w:rsid w:val="008B519D"/>
    <w:rsid w:val="008B51C3"/>
    <w:rsid w:val="008B5C9B"/>
    <w:rsid w:val="008B5FD0"/>
    <w:rsid w:val="008B682A"/>
    <w:rsid w:val="008C0DA6"/>
    <w:rsid w:val="008C101A"/>
    <w:rsid w:val="008C13B6"/>
    <w:rsid w:val="008C3EE4"/>
    <w:rsid w:val="008C40D3"/>
    <w:rsid w:val="008C480B"/>
    <w:rsid w:val="008C52B1"/>
    <w:rsid w:val="008C5611"/>
    <w:rsid w:val="008C5B1D"/>
    <w:rsid w:val="008C5EA1"/>
    <w:rsid w:val="008C67A1"/>
    <w:rsid w:val="008C6B05"/>
    <w:rsid w:val="008C6B58"/>
    <w:rsid w:val="008C74B7"/>
    <w:rsid w:val="008C7F8F"/>
    <w:rsid w:val="008D1D8D"/>
    <w:rsid w:val="008D2478"/>
    <w:rsid w:val="008D3A5E"/>
    <w:rsid w:val="008D48B9"/>
    <w:rsid w:val="008D4A3F"/>
    <w:rsid w:val="008D4D5C"/>
    <w:rsid w:val="008D5728"/>
    <w:rsid w:val="008D6135"/>
    <w:rsid w:val="008D647C"/>
    <w:rsid w:val="008D667A"/>
    <w:rsid w:val="008E0162"/>
    <w:rsid w:val="008E0376"/>
    <w:rsid w:val="008E1CBE"/>
    <w:rsid w:val="008E2330"/>
    <w:rsid w:val="008E5617"/>
    <w:rsid w:val="008E6230"/>
    <w:rsid w:val="008E7540"/>
    <w:rsid w:val="008E7652"/>
    <w:rsid w:val="008E7D7F"/>
    <w:rsid w:val="008F0B9B"/>
    <w:rsid w:val="008F1050"/>
    <w:rsid w:val="008F1FFA"/>
    <w:rsid w:val="008F25B9"/>
    <w:rsid w:val="008F2865"/>
    <w:rsid w:val="008F2B10"/>
    <w:rsid w:val="008F42F8"/>
    <w:rsid w:val="008F4335"/>
    <w:rsid w:val="008F45E8"/>
    <w:rsid w:val="008F45F7"/>
    <w:rsid w:val="008F4B75"/>
    <w:rsid w:val="008F5426"/>
    <w:rsid w:val="008F6C1D"/>
    <w:rsid w:val="008F7027"/>
    <w:rsid w:val="008F73B4"/>
    <w:rsid w:val="009004BC"/>
    <w:rsid w:val="009009D8"/>
    <w:rsid w:val="00900BDC"/>
    <w:rsid w:val="00901EB9"/>
    <w:rsid w:val="009026AA"/>
    <w:rsid w:val="0090286B"/>
    <w:rsid w:val="00903279"/>
    <w:rsid w:val="00904692"/>
    <w:rsid w:val="009065AF"/>
    <w:rsid w:val="009074D6"/>
    <w:rsid w:val="00907E31"/>
    <w:rsid w:val="00910BBC"/>
    <w:rsid w:val="00910FCF"/>
    <w:rsid w:val="009113C4"/>
    <w:rsid w:val="009115AF"/>
    <w:rsid w:val="00911C33"/>
    <w:rsid w:val="00911FA8"/>
    <w:rsid w:val="009138D8"/>
    <w:rsid w:val="0091505E"/>
    <w:rsid w:val="0091662F"/>
    <w:rsid w:val="009174AE"/>
    <w:rsid w:val="0092031C"/>
    <w:rsid w:val="00920C3D"/>
    <w:rsid w:val="0092139C"/>
    <w:rsid w:val="00923600"/>
    <w:rsid w:val="00923885"/>
    <w:rsid w:val="00923ADA"/>
    <w:rsid w:val="009251D2"/>
    <w:rsid w:val="00925939"/>
    <w:rsid w:val="00925973"/>
    <w:rsid w:val="00927261"/>
    <w:rsid w:val="00927A46"/>
    <w:rsid w:val="009306B9"/>
    <w:rsid w:val="00930B1F"/>
    <w:rsid w:val="0093155E"/>
    <w:rsid w:val="00931C2C"/>
    <w:rsid w:val="009323AA"/>
    <w:rsid w:val="009327E8"/>
    <w:rsid w:val="009332BE"/>
    <w:rsid w:val="00933ABF"/>
    <w:rsid w:val="00937754"/>
    <w:rsid w:val="00937C0D"/>
    <w:rsid w:val="00940CBC"/>
    <w:rsid w:val="00940CCC"/>
    <w:rsid w:val="009416C8"/>
    <w:rsid w:val="00942525"/>
    <w:rsid w:val="009428E8"/>
    <w:rsid w:val="0094536E"/>
    <w:rsid w:val="009458E4"/>
    <w:rsid w:val="009459A5"/>
    <w:rsid w:val="00945C45"/>
    <w:rsid w:val="00945D30"/>
    <w:rsid w:val="00945DB8"/>
    <w:rsid w:val="00945EC7"/>
    <w:rsid w:val="00947C12"/>
    <w:rsid w:val="009517EB"/>
    <w:rsid w:val="00952551"/>
    <w:rsid w:val="00952F93"/>
    <w:rsid w:val="00953BFB"/>
    <w:rsid w:val="00953D11"/>
    <w:rsid w:val="0095411F"/>
    <w:rsid w:val="00954786"/>
    <w:rsid w:val="00954EE3"/>
    <w:rsid w:val="009550B2"/>
    <w:rsid w:val="009552D6"/>
    <w:rsid w:val="009554A6"/>
    <w:rsid w:val="0095552E"/>
    <w:rsid w:val="009557FF"/>
    <w:rsid w:val="00955923"/>
    <w:rsid w:val="00955CB3"/>
    <w:rsid w:val="00956D25"/>
    <w:rsid w:val="00957514"/>
    <w:rsid w:val="009578F4"/>
    <w:rsid w:val="00960837"/>
    <w:rsid w:val="00961BB9"/>
    <w:rsid w:val="00961F39"/>
    <w:rsid w:val="0096287E"/>
    <w:rsid w:val="00962CC4"/>
    <w:rsid w:val="00962ED9"/>
    <w:rsid w:val="00964029"/>
    <w:rsid w:val="009644D1"/>
    <w:rsid w:val="00964A7F"/>
    <w:rsid w:val="00964F29"/>
    <w:rsid w:val="009656D3"/>
    <w:rsid w:val="00965F70"/>
    <w:rsid w:val="00966F55"/>
    <w:rsid w:val="00967361"/>
    <w:rsid w:val="0097090F"/>
    <w:rsid w:val="00971A9A"/>
    <w:rsid w:val="0097379E"/>
    <w:rsid w:val="00973AFE"/>
    <w:rsid w:val="00973D45"/>
    <w:rsid w:val="009747C6"/>
    <w:rsid w:val="009747FE"/>
    <w:rsid w:val="00974B69"/>
    <w:rsid w:val="00974EA7"/>
    <w:rsid w:val="00975AEE"/>
    <w:rsid w:val="00976239"/>
    <w:rsid w:val="00977C52"/>
    <w:rsid w:val="00977F8B"/>
    <w:rsid w:val="00980840"/>
    <w:rsid w:val="00981122"/>
    <w:rsid w:val="009829D2"/>
    <w:rsid w:val="00982EDD"/>
    <w:rsid w:val="00982F63"/>
    <w:rsid w:val="00983189"/>
    <w:rsid w:val="0098354A"/>
    <w:rsid w:val="00983775"/>
    <w:rsid w:val="00984071"/>
    <w:rsid w:val="00984650"/>
    <w:rsid w:val="00984EDD"/>
    <w:rsid w:val="00984F22"/>
    <w:rsid w:val="00985459"/>
    <w:rsid w:val="0098593F"/>
    <w:rsid w:val="009864F8"/>
    <w:rsid w:val="00990097"/>
    <w:rsid w:val="0099018D"/>
    <w:rsid w:val="00992ECE"/>
    <w:rsid w:val="00993404"/>
    <w:rsid w:val="00993D56"/>
    <w:rsid w:val="00994694"/>
    <w:rsid w:val="00994AA8"/>
    <w:rsid w:val="00994D94"/>
    <w:rsid w:val="00995037"/>
    <w:rsid w:val="009950BC"/>
    <w:rsid w:val="00996ECA"/>
    <w:rsid w:val="00997FA1"/>
    <w:rsid w:val="009A01BD"/>
    <w:rsid w:val="009A0476"/>
    <w:rsid w:val="009A0EB7"/>
    <w:rsid w:val="009A1A08"/>
    <w:rsid w:val="009A1C4E"/>
    <w:rsid w:val="009A214E"/>
    <w:rsid w:val="009A282E"/>
    <w:rsid w:val="009A356B"/>
    <w:rsid w:val="009A3B0E"/>
    <w:rsid w:val="009A41AE"/>
    <w:rsid w:val="009A509D"/>
    <w:rsid w:val="009A6822"/>
    <w:rsid w:val="009A7967"/>
    <w:rsid w:val="009B16C5"/>
    <w:rsid w:val="009B2227"/>
    <w:rsid w:val="009B26BF"/>
    <w:rsid w:val="009B2C03"/>
    <w:rsid w:val="009B3729"/>
    <w:rsid w:val="009B3C8B"/>
    <w:rsid w:val="009B3CDF"/>
    <w:rsid w:val="009B42AD"/>
    <w:rsid w:val="009B4C23"/>
    <w:rsid w:val="009B5345"/>
    <w:rsid w:val="009B5392"/>
    <w:rsid w:val="009B5578"/>
    <w:rsid w:val="009B65F1"/>
    <w:rsid w:val="009C0134"/>
    <w:rsid w:val="009C1862"/>
    <w:rsid w:val="009C1977"/>
    <w:rsid w:val="009C2439"/>
    <w:rsid w:val="009C3598"/>
    <w:rsid w:val="009C38F6"/>
    <w:rsid w:val="009C47FD"/>
    <w:rsid w:val="009C5E98"/>
    <w:rsid w:val="009C6EEB"/>
    <w:rsid w:val="009C71A9"/>
    <w:rsid w:val="009C7308"/>
    <w:rsid w:val="009C76C5"/>
    <w:rsid w:val="009C7C19"/>
    <w:rsid w:val="009D1A77"/>
    <w:rsid w:val="009D256A"/>
    <w:rsid w:val="009D2955"/>
    <w:rsid w:val="009D362D"/>
    <w:rsid w:val="009D62EF"/>
    <w:rsid w:val="009D7490"/>
    <w:rsid w:val="009D7AD5"/>
    <w:rsid w:val="009D7FB4"/>
    <w:rsid w:val="009E098D"/>
    <w:rsid w:val="009E0A43"/>
    <w:rsid w:val="009E0C68"/>
    <w:rsid w:val="009E0C8A"/>
    <w:rsid w:val="009E496D"/>
    <w:rsid w:val="009E5302"/>
    <w:rsid w:val="009E5381"/>
    <w:rsid w:val="009E5F0B"/>
    <w:rsid w:val="009E62F3"/>
    <w:rsid w:val="009E6570"/>
    <w:rsid w:val="009E674C"/>
    <w:rsid w:val="009E6BF8"/>
    <w:rsid w:val="009E6C33"/>
    <w:rsid w:val="009E7687"/>
    <w:rsid w:val="009F0A94"/>
    <w:rsid w:val="009F0C3C"/>
    <w:rsid w:val="009F1675"/>
    <w:rsid w:val="009F4366"/>
    <w:rsid w:val="009F43DD"/>
    <w:rsid w:val="009F47FE"/>
    <w:rsid w:val="009F5530"/>
    <w:rsid w:val="009F6B73"/>
    <w:rsid w:val="009F6CD4"/>
    <w:rsid w:val="009F7223"/>
    <w:rsid w:val="009F7AF3"/>
    <w:rsid w:val="00A0022D"/>
    <w:rsid w:val="00A00B1C"/>
    <w:rsid w:val="00A01AAB"/>
    <w:rsid w:val="00A01BD7"/>
    <w:rsid w:val="00A01D2E"/>
    <w:rsid w:val="00A02460"/>
    <w:rsid w:val="00A03384"/>
    <w:rsid w:val="00A03CBE"/>
    <w:rsid w:val="00A04B72"/>
    <w:rsid w:val="00A05147"/>
    <w:rsid w:val="00A07769"/>
    <w:rsid w:val="00A11892"/>
    <w:rsid w:val="00A124D7"/>
    <w:rsid w:val="00A136C7"/>
    <w:rsid w:val="00A14049"/>
    <w:rsid w:val="00A14099"/>
    <w:rsid w:val="00A142F1"/>
    <w:rsid w:val="00A153DB"/>
    <w:rsid w:val="00A1668C"/>
    <w:rsid w:val="00A16900"/>
    <w:rsid w:val="00A1711F"/>
    <w:rsid w:val="00A17C48"/>
    <w:rsid w:val="00A20BB0"/>
    <w:rsid w:val="00A20FE4"/>
    <w:rsid w:val="00A215EC"/>
    <w:rsid w:val="00A21C45"/>
    <w:rsid w:val="00A22328"/>
    <w:rsid w:val="00A258B7"/>
    <w:rsid w:val="00A27A02"/>
    <w:rsid w:val="00A27D54"/>
    <w:rsid w:val="00A306D6"/>
    <w:rsid w:val="00A30B59"/>
    <w:rsid w:val="00A31085"/>
    <w:rsid w:val="00A32E73"/>
    <w:rsid w:val="00A3380B"/>
    <w:rsid w:val="00A34F4C"/>
    <w:rsid w:val="00A363EE"/>
    <w:rsid w:val="00A36C94"/>
    <w:rsid w:val="00A37308"/>
    <w:rsid w:val="00A37512"/>
    <w:rsid w:val="00A37763"/>
    <w:rsid w:val="00A37B4D"/>
    <w:rsid w:val="00A40033"/>
    <w:rsid w:val="00A4050A"/>
    <w:rsid w:val="00A40825"/>
    <w:rsid w:val="00A40B27"/>
    <w:rsid w:val="00A40B4E"/>
    <w:rsid w:val="00A40FCD"/>
    <w:rsid w:val="00A41948"/>
    <w:rsid w:val="00A43944"/>
    <w:rsid w:val="00A443EE"/>
    <w:rsid w:val="00A45E2F"/>
    <w:rsid w:val="00A4701B"/>
    <w:rsid w:val="00A47AD7"/>
    <w:rsid w:val="00A47C1D"/>
    <w:rsid w:val="00A47FC9"/>
    <w:rsid w:val="00A503A0"/>
    <w:rsid w:val="00A5100C"/>
    <w:rsid w:val="00A514C0"/>
    <w:rsid w:val="00A515A9"/>
    <w:rsid w:val="00A51833"/>
    <w:rsid w:val="00A51DC8"/>
    <w:rsid w:val="00A530BB"/>
    <w:rsid w:val="00A533F1"/>
    <w:rsid w:val="00A53ABF"/>
    <w:rsid w:val="00A53D02"/>
    <w:rsid w:val="00A53F6E"/>
    <w:rsid w:val="00A5758D"/>
    <w:rsid w:val="00A57F43"/>
    <w:rsid w:val="00A60654"/>
    <w:rsid w:val="00A6065C"/>
    <w:rsid w:val="00A60704"/>
    <w:rsid w:val="00A6188C"/>
    <w:rsid w:val="00A623EE"/>
    <w:rsid w:val="00A63565"/>
    <w:rsid w:val="00A65AD3"/>
    <w:rsid w:val="00A65C98"/>
    <w:rsid w:val="00A66573"/>
    <w:rsid w:val="00A66C67"/>
    <w:rsid w:val="00A673FC"/>
    <w:rsid w:val="00A7031E"/>
    <w:rsid w:val="00A70421"/>
    <w:rsid w:val="00A71496"/>
    <w:rsid w:val="00A71616"/>
    <w:rsid w:val="00A716E6"/>
    <w:rsid w:val="00A7193B"/>
    <w:rsid w:val="00A71B4E"/>
    <w:rsid w:val="00A72818"/>
    <w:rsid w:val="00A7351C"/>
    <w:rsid w:val="00A73522"/>
    <w:rsid w:val="00A73646"/>
    <w:rsid w:val="00A74DFC"/>
    <w:rsid w:val="00A75D9E"/>
    <w:rsid w:val="00A76A57"/>
    <w:rsid w:val="00A76E80"/>
    <w:rsid w:val="00A77757"/>
    <w:rsid w:val="00A808D4"/>
    <w:rsid w:val="00A81230"/>
    <w:rsid w:val="00A8149F"/>
    <w:rsid w:val="00A81583"/>
    <w:rsid w:val="00A821F6"/>
    <w:rsid w:val="00A84364"/>
    <w:rsid w:val="00A8445A"/>
    <w:rsid w:val="00A85516"/>
    <w:rsid w:val="00A86C24"/>
    <w:rsid w:val="00A86E06"/>
    <w:rsid w:val="00A872F0"/>
    <w:rsid w:val="00A90BB3"/>
    <w:rsid w:val="00A92164"/>
    <w:rsid w:val="00A9281E"/>
    <w:rsid w:val="00A9364A"/>
    <w:rsid w:val="00A946C2"/>
    <w:rsid w:val="00A9522B"/>
    <w:rsid w:val="00A95B86"/>
    <w:rsid w:val="00A96193"/>
    <w:rsid w:val="00A96655"/>
    <w:rsid w:val="00A96AE8"/>
    <w:rsid w:val="00A96E79"/>
    <w:rsid w:val="00A96FFE"/>
    <w:rsid w:val="00A9736D"/>
    <w:rsid w:val="00A97FC0"/>
    <w:rsid w:val="00AA10FC"/>
    <w:rsid w:val="00AA12D2"/>
    <w:rsid w:val="00AA12F5"/>
    <w:rsid w:val="00AA1F21"/>
    <w:rsid w:val="00AA365A"/>
    <w:rsid w:val="00AA3EA2"/>
    <w:rsid w:val="00AA4B36"/>
    <w:rsid w:val="00AA4D00"/>
    <w:rsid w:val="00AA540D"/>
    <w:rsid w:val="00AA6313"/>
    <w:rsid w:val="00AA7073"/>
    <w:rsid w:val="00AB3031"/>
    <w:rsid w:val="00AB315D"/>
    <w:rsid w:val="00AB4C86"/>
    <w:rsid w:val="00AB4D01"/>
    <w:rsid w:val="00AB56D7"/>
    <w:rsid w:val="00AC0641"/>
    <w:rsid w:val="00AC133A"/>
    <w:rsid w:val="00AC45B4"/>
    <w:rsid w:val="00AC606D"/>
    <w:rsid w:val="00AD0D75"/>
    <w:rsid w:val="00AD14EB"/>
    <w:rsid w:val="00AD431F"/>
    <w:rsid w:val="00AD4D02"/>
    <w:rsid w:val="00AD6D1B"/>
    <w:rsid w:val="00AE029A"/>
    <w:rsid w:val="00AE0D94"/>
    <w:rsid w:val="00AE1BB2"/>
    <w:rsid w:val="00AE1C5D"/>
    <w:rsid w:val="00AE3B89"/>
    <w:rsid w:val="00AE7C8F"/>
    <w:rsid w:val="00AF1A55"/>
    <w:rsid w:val="00AF1CA8"/>
    <w:rsid w:val="00AF297B"/>
    <w:rsid w:val="00AF2D8B"/>
    <w:rsid w:val="00AF4B4C"/>
    <w:rsid w:val="00AF51C5"/>
    <w:rsid w:val="00AF5865"/>
    <w:rsid w:val="00AF5F54"/>
    <w:rsid w:val="00AF61B6"/>
    <w:rsid w:val="00AF72B1"/>
    <w:rsid w:val="00AF75B2"/>
    <w:rsid w:val="00B01162"/>
    <w:rsid w:val="00B01866"/>
    <w:rsid w:val="00B03C61"/>
    <w:rsid w:val="00B03E2F"/>
    <w:rsid w:val="00B04646"/>
    <w:rsid w:val="00B04CE9"/>
    <w:rsid w:val="00B04F0D"/>
    <w:rsid w:val="00B05C3F"/>
    <w:rsid w:val="00B06052"/>
    <w:rsid w:val="00B07B01"/>
    <w:rsid w:val="00B10B35"/>
    <w:rsid w:val="00B10F1D"/>
    <w:rsid w:val="00B12998"/>
    <w:rsid w:val="00B12A03"/>
    <w:rsid w:val="00B13DBC"/>
    <w:rsid w:val="00B1412F"/>
    <w:rsid w:val="00B14905"/>
    <w:rsid w:val="00B155D3"/>
    <w:rsid w:val="00B1758A"/>
    <w:rsid w:val="00B205E1"/>
    <w:rsid w:val="00B227EF"/>
    <w:rsid w:val="00B23DA3"/>
    <w:rsid w:val="00B23DD7"/>
    <w:rsid w:val="00B3036C"/>
    <w:rsid w:val="00B308C3"/>
    <w:rsid w:val="00B31748"/>
    <w:rsid w:val="00B31783"/>
    <w:rsid w:val="00B317D8"/>
    <w:rsid w:val="00B3348D"/>
    <w:rsid w:val="00B33AF3"/>
    <w:rsid w:val="00B3434A"/>
    <w:rsid w:val="00B34A49"/>
    <w:rsid w:val="00B359AB"/>
    <w:rsid w:val="00B37453"/>
    <w:rsid w:val="00B37C15"/>
    <w:rsid w:val="00B400C3"/>
    <w:rsid w:val="00B409FE"/>
    <w:rsid w:val="00B411AD"/>
    <w:rsid w:val="00B4141E"/>
    <w:rsid w:val="00B416D9"/>
    <w:rsid w:val="00B425F3"/>
    <w:rsid w:val="00B42CBA"/>
    <w:rsid w:val="00B42D0C"/>
    <w:rsid w:val="00B439E1"/>
    <w:rsid w:val="00B43CCA"/>
    <w:rsid w:val="00B44620"/>
    <w:rsid w:val="00B44FE4"/>
    <w:rsid w:val="00B45354"/>
    <w:rsid w:val="00B462F2"/>
    <w:rsid w:val="00B51343"/>
    <w:rsid w:val="00B535D8"/>
    <w:rsid w:val="00B54379"/>
    <w:rsid w:val="00B54D17"/>
    <w:rsid w:val="00B55D1E"/>
    <w:rsid w:val="00B577EF"/>
    <w:rsid w:val="00B60655"/>
    <w:rsid w:val="00B61819"/>
    <w:rsid w:val="00B62379"/>
    <w:rsid w:val="00B630BB"/>
    <w:rsid w:val="00B63620"/>
    <w:rsid w:val="00B65073"/>
    <w:rsid w:val="00B65D98"/>
    <w:rsid w:val="00B6692D"/>
    <w:rsid w:val="00B67B04"/>
    <w:rsid w:val="00B700F0"/>
    <w:rsid w:val="00B70671"/>
    <w:rsid w:val="00B7094A"/>
    <w:rsid w:val="00B7131C"/>
    <w:rsid w:val="00B716D7"/>
    <w:rsid w:val="00B7175D"/>
    <w:rsid w:val="00B74C1C"/>
    <w:rsid w:val="00B751E9"/>
    <w:rsid w:val="00B76F67"/>
    <w:rsid w:val="00B76FB3"/>
    <w:rsid w:val="00B77F2B"/>
    <w:rsid w:val="00B8106A"/>
    <w:rsid w:val="00B811D4"/>
    <w:rsid w:val="00B81DF6"/>
    <w:rsid w:val="00B824DB"/>
    <w:rsid w:val="00B82906"/>
    <w:rsid w:val="00B82B63"/>
    <w:rsid w:val="00B836CB"/>
    <w:rsid w:val="00B83BCE"/>
    <w:rsid w:val="00B84504"/>
    <w:rsid w:val="00B84DE4"/>
    <w:rsid w:val="00B84FEF"/>
    <w:rsid w:val="00B852B6"/>
    <w:rsid w:val="00B8536C"/>
    <w:rsid w:val="00B85710"/>
    <w:rsid w:val="00B86D37"/>
    <w:rsid w:val="00B91D39"/>
    <w:rsid w:val="00B92128"/>
    <w:rsid w:val="00B92677"/>
    <w:rsid w:val="00B94DDA"/>
    <w:rsid w:val="00B95DC4"/>
    <w:rsid w:val="00B95F12"/>
    <w:rsid w:val="00B966CE"/>
    <w:rsid w:val="00B97211"/>
    <w:rsid w:val="00BA00F3"/>
    <w:rsid w:val="00BA01DC"/>
    <w:rsid w:val="00BA06F4"/>
    <w:rsid w:val="00BA0C3B"/>
    <w:rsid w:val="00BA14C5"/>
    <w:rsid w:val="00BA14D4"/>
    <w:rsid w:val="00BA1A2D"/>
    <w:rsid w:val="00BA363B"/>
    <w:rsid w:val="00BA379C"/>
    <w:rsid w:val="00BA3DB5"/>
    <w:rsid w:val="00BA6D0E"/>
    <w:rsid w:val="00BA7F9B"/>
    <w:rsid w:val="00BB002A"/>
    <w:rsid w:val="00BB12BF"/>
    <w:rsid w:val="00BB2BE1"/>
    <w:rsid w:val="00BB615E"/>
    <w:rsid w:val="00BB71E3"/>
    <w:rsid w:val="00BB79A2"/>
    <w:rsid w:val="00BC0324"/>
    <w:rsid w:val="00BC0B06"/>
    <w:rsid w:val="00BC20BB"/>
    <w:rsid w:val="00BC379B"/>
    <w:rsid w:val="00BC4060"/>
    <w:rsid w:val="00BC484A"/>
    <w:rsid w:val="00BC522C"/>
    <w:rsid w:val="00BC5613"/>
    <w:rsid w:val="00BC6046"/>
    <w:rsid w:val="00BC6259"/>
    <w:rsid w:val="00BC794B"/>
    <w:rsid w:val="00BD12B5"/>
    <w:rsid w:val="00BD1AA2"/>
    <w:rsid w:val="00BD2E70"/>
    <w:rsid w:val="00BD3344"/>
    <w:rsid w:val="00BD3381"/>
    <w:rsid w:val="00BD3D33"/>
    <w:rsid w:val="00BD4669"/>
    <w:rsid w:val="00BD4A5E"/>
    <w:rsid w:val="00BD60F4"/>
    <w:rsid w:val="00BD612D"/>
    <w:rsid w:val="00BD64FA"/>
    <w:rsid w:val="00BD662A"/>
    <w:rsid w:val="00BE02BC"/>
    <w:rsid w:val="00BE1B40"/>
    <w:rsid w:val="00BE2A56"/>
    <w:rsid w:val="00BE2DDA"/>
    <w:rsid w:val="00BE49D1"/>
    <w:rsid w:val="00BE597D"/>
    <w:rsid w:val="00BE677E"/>
    <w:rsid w:val="00BE70E9"/>
    <w:rsid w:val="00BF06E1"/>
    <w:rsid w:val="00BF1813"/>
    <w:rsid w:val="00BF2A46"/>
    <w:rsid w:val="00BF2E4D"/>
    <w:rsid w:val="00BF31A5"/>
    <w:rsid w:val="00BF3412"/>
    <w:rsid w:val="00BF37FB"/>
    <w:rsid w:val="00BF3CE7"/>
    <w:rsid w:val="00BF607F"/>
    <w:rsid w:val="00BF6164"/>
    <w:rsid w:val="00BF6529"/>
    <w:rsid w:val="00BF68E8"/>
    <w:rsid w:val="00BF6F72"/>
    <w:rsid w:val="00BF71DF"/>
    <w:rsid w:val="00BF762E"/>
    <w:rsid w:val="00BF7F1A"/>
    <w:rsid w:val="00C001A3"/>
    <w:rsid w:val="00C00B7E"/>
    <w:rsid w:val="00C014A9"/>
    <w:rsid w:val="00C0233A"/>
    <w:rsid w:val="00C02F9C"/>
    <w:rsid w:val="00C05AB5"/>
    <w:rsid w:val="00C05D01"/>
    <w:rsid w:val="00C05F15"/>
    <w:rsid w:val="00C06178"/>
    <w:rsid w:val="00C068FD"/>
    <w:rsid w:val="00C06AF6"/>
    <w:rsid w:val="00C06E78"/>
    <w:rsid w:val="00C0781D"/>
    <w:rsid w:val="00C10234"/>
    <w:rsid w:val="00C10D44"/>
    <w:rsid w:val="00C12D2D"/>
    <w:rsid w:val="00C136A2"/>
    <w:rsid w:val="00C1513A"/>
    <w:rsid w:val="00C154A9"/>
    <w:rsid w:val="00C2023B"/>
    <w:rsid w:val="00C21661"/>
    <w:rsid w:val="00C21EBA"/>
    <w:rsid w:val="00C232D2"/>
    <w:rsid w:val="00C23D11"/>
    <w:rsid w:val="00C241CD"/>
    <w:rsid w:val="00C24761"/>
    <w:rsid w:val="00C250DD"/>
    <w:rsid w:val="00C253DD"/>
    <w:rsid w:val="00C267EF"/>
    <w:rsid w:val="00C27EAA"/>
    <w:rsid w:val="00C31BF7"/>
    <w:rsid w:val="00C3327A"/>
    <w:rsid w:val="00C347E8"/>
    <w:rsid w:val="00C347F9"/>
    <w:rsid w:val="00C34DB8"/>
    <w:rsid w:val="00C3553D"/>
    <w:rsid w:val="00C35B50"/>
    <w:rsid w:val="00C373A8"/>
    <w:rsid w:val="00C37B14"/>
    <w:rsid w:val="00C40DD5"/>
    <w:rsid w:val="00C4128B"/>
    <w:rsid w:val="00C43A4E"/>
    <w:rsid w:val="00C44F62"/>
    <w:rsid w:val="00C50D98"/>
    <w:rsid w:val="00C50E26"/>
    <w:rsid w:val="00C51462"/>
    <w:rsid w:val="00C52C17"/>
    <w:rsid w:val="00C52E34"/>
    <w:rsid w:val="00C533F5"/>
    <w:rsid w:val="00C53739"/>
    <w:rsid w:val="00C5440D"/>
    <w:rsid w:val="00C5497C"/>
    <w:rsid w:val="00C54B77"/>
    <w:rsid w:val="00C55259"/>
    <w:rsid w:val="00C55BAA"/>
    <w:rsid w:val="00C56761"/>
    <w:rsid w:val="00C56B62"/>
    <w:rsid w:val="00C57724"/>
    <w:rsid w:val="00C57770"/>
    <w:rsid w:val="00C611F3"/>
    <w:rsid w:val="00C61A96"/>
    <w:rsid w:val="00C61B45"/>
    <w:rsid w:val="00C62281"/>
    <w:rsid w:val="00C62592"/>
    <w:rsid w:val="00C62A91"/>
    <w:rsid w:val="00C63538"/>
    <w:rsid w:val="00C64D93"/>
    <w:rsid w:val="00C64F92"/>
    <w:rsid w:val="00C65392"/>
    <w:rsid w:val="00C657EF"/>
    <w:rsid w:val="00C659A9"/>
    <w:rsid w:val="00C6732F"/>
    <w:rsid w:val="00C67E7B"/>
    <w:rsid w:val="00C70D1A"/>
    <w:rsid w:val="00C70F8C"/>
    <w:rsid w:val="00C7234D"/>
    <w:rsid w:val="00C7311B"/>
    <w:rsid w:val="00C73956"/>
    <w:rsid w:val="00C740A9"/>
    <w:rsid w:val="00C744B7"/>
    <w:rsid w:val="00C750A3"/>
    <w:rsid w:val="00C75673"/>
    <w:rsid w:val="00C75E08"/>
    <w:rsid w:val="00C75F4B"/>
    <w:rsid w:val="00C763E8"/>
    <w:rsid w:val="00C76B76"/>
    <w:rsid w:val="00C778BF"/>
    <w:rsid w:val="00C77A0B"/>
    <w:rsid w:val="00C8173B"/>
    <w:rsid w:val="00C81849"/>
    <w:rsid w:val="00C8184E"/>
    <w:rsid w:val="00C81B10"/>
    <w:rsid w:val="00C82432"/>
    <w:rsid w:val="00C82F45"/>
    <w:rsid w:val="00C83604"/>
    <w:rsid w:val="00C8396B"/>
    <w:rsid w:val="00C83DC8"/>
    <w:rsid w:val="00C844DE"/>
    <w:rsid w:val="00C848D3"/>
    <w:rsid w:val="00C84E3F"/>
    <w:rsid w:val="00C872DA"/>
    <w:rsid w:val="00C87F60"/>
    <w:rsid w:val="00C90350"/>
    <w:rsid w:val="00C90375"/>
    <w:rsid w:val="00C926BE"/>
    <w:rsid w:val="00C9307A"/>
    <w:rsid w:val="00C93218"/>
    <w:rsid w:val="00C950DD"/>
    <w:rsid w:val="00C956BC"/>
    <w:rsid w:val="00C95C0D"/>
    <w:rsid w:val="00C97391"/>
    <w:rsid w:val="00CA08D4"/>
    <w:rsid w:val="00CA2F3E"/>
    <w:rsid w:val="00CA2F85"/>
    <w:rsid w:val="00CA3185"/>
    <w:rsid w:val="00CA347D"/>
    <w:rsid w:val="00CA57DF"/>
    <w:rsid w:val="00CA6CA7"/>
    <w:rsid w:val="00CA7161"/>
    <w:rsid w:val="00CA78FA"/>
    <w:rsid w:val="00CA7C6B"/>
    <w:rsid w:val="00CA7F2F"/>
    <w:rsid w:val="00CB1526"/>
    <w:rsid w:val="00CB27A1"/>
    <w:rsid w:val="00CB3E99"/>
    <w:rsid w:val="00CB40BB"/>
    <w:rsid w:val="00CB5D7D"/>
    <w:rsid w:val="00CB6A18"/>
    <w:rsid w:val="00CB7D87"/>
    <w:rsid w:val="00CC09A5"/>
    <w:rsid w:val="00CC0AA8"/>
    <w:rsid w:val="00CC14FA"/>
    <w:rsid w:val="00CC321E"/>
    <w:rsid w:val="00CC5DE9"/>
    <w:rsid w:val="00CC6AD5"/>
    <w:rsid w:val="00CD015A"/>
    <w:rsid w:val="00CD036F"/>
    <w:rsid w:val="00CD2459"/>
    <w:rsid w:val="00CD47C7"/>
    <w:rsid w:val="00CD5BD9"/>
    <w:rsid w:val="00CD5F27"/>
    <w:rsid w:val="00CD62F5"/>
    <w:rsid w:val="00CD6651"/>
    <w:rsid w:val="00CD757B"/>
    <w:rsid w:val="00CE0CC4"/>
    <w:rsid w:val="00CE0FA7"/>
    <w:rsid w:val="00CE1977"/>
    <w:rsid w:val="00CE4673"/>
    <w:rsid w:val="00CE5854"/>
    <w:rsid w:val="00CE65EC"/>
    <w:rsid w:val="00CE665F"/>
    <w:rsid w:val="00CF012F"/>
    <w:rsid w:val="00CF067C"/>
    <w:rsid w:val="00CF11AC"/>
    <w:rsid w:val="00CF13CE"/>
    <w:rsid w:val="00CF1E8E"/>
    <w:rsid w:val="00CF325F"/>
    <w:rsid w:val="00CF416F"/>
    <w:rsid w:val="00CF4175"/>
    <w:rsid w:val="00CF4657"/>
    <w:rsid w:val="00CF47A6"/>
    <w:rsid w:val="00CF57CD"/>
    <w:rsid w:val="00CF5C65"/>
    <w:rsid w:val="00CF66DA"/>
    <w:rsid w:val="00CF6946"/>
    <w:rsid w:val="00CF7515"/>
    <w:rsid w:val="00D01EB7"/>
    <w:rsid w:val="00D020A4"/>
    <w:rsid w:val="00D0251C"/>
    <w:rsid w:val="00D02B59"/>
    <w:rsid w:val="00D032F4"/>
    <w:rsid w:val="00D033C4"/>
    <w:rsid w:val="00D04494"/>
    <w:rsid w:val="00D048B9"/>
    <w:rsid w:val="00D0641C"/>
    <w:rsid w:val="00D0671E"/>
    <w:rsid w:val="00D068C9"/>
    <w:rsid w:val="00D06C54"/>
    <w:rsid w:val="00D076BB"/>
    <w:rsid w:val="00D07835"/>
    <w:rsid w:val="00D07DDB"/>
    <w:rsid w:val="00D10126"/>
    <w:rsid w:val="00D10158"/>
    <w:rsid w:val="00D1102C"/>
    <w:rsid w:val="00D11CBF"/>
    <w:rsid w:val="00D11F1E"/>
    <w:rsid w:val="00D13E97"/>
    <w:rsid w:val="00D146C3"/>
    <w:rsid w:val="00D15822"/>
    <w:rsid w:val="00D15B49"/>
    <w:rsid w:val="00D1752F"/>
    <w:rsid w:val="00D20D1B"/>
    <w:rsid w:val="00D220BC"/>
    <w:rsid w:val="00D2223C"/>
    <w:rsid w:val="00D22494"/>
    <w:rsid w:val="00D22553"/>
    <w:rsid w:val="00D2272F"/>
    <w:rsid w:val="00D23363"/>
    <w:rsid w:val="00D24613"/>
    <w:rsid w:val="00D24EBC"/>
    <w:rsid w:val="00D2550C"/>
    <w:rsid w:val="00D25595"/>
    <w:rsid w:val="00D25806"/>
    <w:rsid w:val="00D26091"/>
    <w:rsid w:val="00D264AF"/>
    <w:rsid w:val="00D265C6"/>
    <w:rsid w:val="00D27E02"/>
    <w:rsid w:val="00D30ABB"/>
    <w:rsid w:val="00D31AE8"/>
    <w:rsid w:val="00D3256B"/>
    <w:rsid w:val="00D325BA"/>
    <w:rsid w:val="00D34699"/>
    <w:rsid w:val="00D35FD2"/>
    <w:rsid w:val="00D36F21"/>
    <w:rsid w:val="00D40692"/>
    <w:rsid w:val="00D40B2D"/>
    <w:rsid w:val="00D419C8"/>
    <w:rsid w:val="00D424A9"/>
    <w:rsid w:val="00D43A42"/>
    <w:rsid w:val="00D4494F"/>
    <w:rsid w:val="00D44AF9"/>
    <w:rsid w:val="00D45B3E"/>
    <w:rsid w:val="00D46502"/>
    <w:rsid w:val="00D46793"/>
    <w:rsid w:val="00D50308"/>
    <w:rsid w:val="00D5133B"/>
    <w:rsid w:val="00D513EC"/>
    <w:rsid w:val="00D518BC"/>
    <w:rsid w:val="00D51AB3"/>
    <w:rsid w:val="00D524C6"/>
    <w:rsid w:val="00D529FE"/>
    <w:rsid w:val="00D5361C"/>
    <w:rsid w:val="00D53EC7"/>
    <w:rsid w:val="00D55C85"/>
    <w:rsid w:val="00D56271"/>
    <w:rsid w:val="00D60199"/>
    <w:rsid w:val="00D6096F"/>
    <w:rsid w:val="00D60AFE"/>
    <w:rsid w:val="00D61A50"/>
    <w:rsid w:val="00D62BBF"/>
    <w:rsid w:val="00D63329"/>
    <w:rsid w:val="00D63ABE"/>
    <w:rsid w:val="00D6601D"/>
    <w:rsid w:val="00D666CF"/>
    <w:rsid w:val="00D671C1"/>
    <w:rsid w:val="00D675E6"/>
    <w:rsid w:val="00D67A75"/>
    <w:rsid w:val="00D708DB"/>
    <w:rsid w:val="00D73739"/>
    <w:rsid w:val="00D73B17"/>
    <w:rsid w:val="00D75C55"/>
    <w:rsid w:val="00D76378"/>
    <w:rsid w:val="00D771F5"/>
    <w:rsid w:val="00D7775F"/>
    <w:rsid w:val="00D803A8"/>
    <w:rsid w:val="00D80660"/>
    <w:rsid w:val="00D829A5"/>
    <w:rsid w:val="00D833BC"/>
    <w:rsid w:val="00D83937"/>
    <w:rsid w:val="00D83D58"/>
    <w:rsid w:val="00D83E69"/>
    <w:rsid w:val="00D85C42"/>
    <w:rsid w:val="00D8601D"/>
    <w:rsid w:val="00D875CD"/>
    <w:rsid w:val="00D9012D"/>
    <w:rsid w:val="00D90577"/>
    <w:rsid w:val="00D90C94"/>
    <w:rsid w:val="00D9113B"/>
    <w:rsid w:val="00D91EF0"/>
    <w:rsid w:val="00D91F2D"/>
    <w:rsid w:val="00D921B0"/>
    <w:rsid w:val="00D93361"/>
    <w:rsid w:val="00D947C9"/>
    <w:rsid w:val="00D94E94"/>
    <w:rsid w:val="00D9562D"/>
    <w:rsid w:val="00D95AF5"/>
    <w:rsid w:val="00D95BD7"/>
    <w:rsid w:val="00D978CF"/>
    <w:rsid w:val="00DA11AF"/>
    <w:rsid w:val="00DA2D4A"/>
    <w:rsid w:val="00DA400F"/>
    <w:rsid w:val="00DA49FB"/>
    <w:rsid w:val="00DA4F38"/>
    <w:rsid w:val="00DA5D5B"/>
    <w:rsid w:val="00DA7CC8"/>
    <w:rsid w:val="00DB04E1"/>
    <w:rsid w:val="00DB0DFA"/>
    <w:rsid w:val="00DB1FF3"/>
    <w:rsid w:val="00DB2458"/>
    <w:rsid w:val="00DB371C"/>
    <w:rsid w:val="00DB483E"/>
    <w:rsid w:val="00DB4B97"/>
    <w:rsid w:val="00DB5276"/>
    <w:rsid w:val="00DB53F7"/>
    <w:rsid w:val="00DB68C0"/>
    <w:rsid w:val="00DB6BCA"/>
    <w:rsid w:val="00DB7F29"/>
    <w:rsid w:val="00DC0765"/>
    <w:rsid w:val="00DC10D1"/>
    <w:rsid w:val="00DC1AFA"/>
    <w:rsid w:val="00DC3035"/>
    <w:rsid w:val="00DC4491"/>
    <w:rsid w:val="00DC67B3"/>
    <w:rsid w:val="00DC6A82"/>
    <w:rsid w:val="00DC7468"/>
    <w:rsid w:val="00DC7576"/>
    <w:rsid w:val="00DC7B38"/>
    <w:rsid w:val="00DC7C3F"/>
    <w:rsid w:val="00DD17DD"/>
    <w:rsid w:val="00DD18FF"/>
    <w:rsid w:val="00DD1DDE"/>
    <w:rsid w:val="00DD1E84"/>
    <w:rsid w:val="00DD1E96"/>
    <w:rsid w:val="00DD2C3B"/>
    <w:rsid w:val="00DD46A7"/>
    <w:rsid w:val="00DD473B"/>
    <w:rsid w:val="00DD4858"/>
    <w:rsid w:val="00DD49A0"/>
    <w:rsid w:val="00DD7CAE"/>
    <w:rsid w:val="00DE0681"/>
    <w:rsid w:val="00DE2770"/>
    <w:rsid w:val="00DE2840"/>
    <w:rsid w:val="00DE3986"/>
    <w:rsid w:val="00DE4A70"/>
    <w:rsid w:val="00DE5828"/>
    <w:rsid w:val="00DE648F"/>
    <w:rsid w:val="00DE6B11"/>
    <w:rsid w:val="00DE6B2F"/>
    <w:rsid w:val="00DE7267"/>
    <w:rsid w:val="00DE7BF7"/>
    <w:rsid w:val="00DF0173"/>
    <w:rsid w:val="00DF06E1"/>
    <w:rsid w:val="00DF0B41"/>
    <w:rsid w:val="00DF0E4A"/>
    <w:rsid w:val="00DF0E4F"/>
    <w:rsid w:val="00DF13CF"/>
    <w:rsid w:val="00DF14BB"/>
    <w:rsid w:val="00DF1545"/>
    <w:rsid w:val="00DF1CFC"/>
    <w:rsid w:val="00DF2B2C"/>
    <w:rsid w:val="00DF36DC"/>
    <w:rsid w:val="00DF3E7A"/>
    <w:rsid w:val="00DF5875"/>
    <w:rsid w:val="00DF5B87"/>
    <w:rsid w:val="00DF644E"/>
    <w:rsid w:val="00DF6CE6"/>
    <w:rsid w:val="00DF6D5A"/>
    <w:rsid w:val="00DF7114"/>
    <w:rsid w:val="00DF7252"/>
    <w:rsid w:val="00E00055"/>
    <w:rsid w:val="00E003D5"/>
    <w:rsid w:val="00E007A8"/>
    <w:rsid w:val="00E00CE8"/>
    <w:rsid w:val="00E02B2D"/>
    <w:rsid w:val="00E044B0"/>
    <w:rsid w:val="00E04BBD"/>
    <w:rsid w:val="00E05357"/>
    <w:rsid w:val="00E05F7D"/>
    <w:rsid w:val="00E06081"/>
    <w:rsid w:val="00E061FA"/>
    <w:rsid w:val="00E067BE"/>
    <w:rsid w:val="00E06FD6"/>
    <w:rsid w:val="00E072EB"/>
    <w:rsid w:val="00E07CBA"/>
    <w:rsid w:val="00E1074D"/>
    <w:rsid w:val="00E11067"/>
    <w:rsid w:val="00E13F67"/>
    <w:rsid w:val="00E14847"/>
    <w:rsid w:val="00E160CE"/>
    <w:rsid w:val="00E16186"/>
    <w:rsid w:val="00E16449"/>
    <w:rsid w:val="00E16A17"/>
    <w:rsid w:val="00E16FE2"/>
    <w:rsid w:val="00E17AFF"/>
    <w:rsid w:val="00E20312"/>
    <w:rsid w:val="00E219AC"/>
    <w:rsid w:val="00E225E0"/>
    <w:rsid w:val="00E22C8F"/>
    <w:rsid w:val="00E25F39"/>
    <w:rsid w:val="00E27223"/>
    <w:rsid w:val="00E33367"/>
    <w:rsid w:val="00E33C39"/>
    <w:rsid w:val="00E3436E"/>
    <w:rsid w:val="00E3482E"/>
    <w:rsid w:val="00E3491F"/>
    <w:rsid w:val="00E35C1A"/>
    <w:rsid w:val="00E35CE6"/>
    <w:rsid w:val="00E36231"/>
    <w:rsid w:val="00E367CB"/>
    <w:rsid w:val="00E36CD8"/>
    <w:rsid w:val="00E36FDD"/>
    <w:rsid w:val="00E40032"/>
    <w:rsid w:val="00E403A0"/>
    <w:rsid w:val="00E4055F"/>
    <w:rsid w:val="00E408C1"/>
    <w:rsid w:val="00E411DD"/>
    <w:rsid w:val="00E42125"/>
    <w:rsid w:val="00E42C81"/>
    <w:rsid w:val="00E437F2"/>
    <w:rsid w:val="00E44B88"/>
    <w:rsid w:val="00E44F88"/>
    <w:rsid w:val="00E4509D"/>
    <w:rsid w:val="00E46EB9"/>
    <w:rsid w:val="00E47EA2"/>
    <w:rsid w:val="00E47EEE"/>
    <w:rsid w:val="00E50CC5"/>
    <w:rsid w:val="00E51352"/>
    <w:rsid w:val="00E514DD"/>
    <w:rsid w:val="00E5381E"/>
    <w:rsid w:val="00E551C9"/>
    <w:rsid w:val="00E55E10"/>
    <w:rsid w:val="00E56091"/>
    <w:rsid w:val="00E6086B"/>
    <w:rsid w:val="00E60F6C"/>
    <w:rsid w:val="00E6158A"/>
    <w:rsid w:val="00E61664"/>
    <w:rsid w:val="00E62609"/>
    <w:rsid w:val="00E62F0B"/>
    <w:rsid w:val="00E632CB"/>
    <w:rsid w:val="00E67156"/>
    <w:rsid w:val="00E67283"/>
    <w:rsid w:val="00E67569"/>
    <w:rsid w:val="00E67C7C"/>
    <w:rsid w:val="00E71151"/>
    <w:rsid w:val="00E71871"/>
    <w:rsid w:val="00E71C13"/>
    <w:rsid w:val="00E72BB4"/>
    <w:rsid w:val="00E7592A"/>
    <w:rsid w:val="00E76D85"/>
    <w:rsid w:val="00E77E80"/>
    <w:rsid w:val="00E80108"/>
    <w:rsid w:val="00E80599"/>
    <w:rsid w:val="00E8093D"/>
    <w:rsid w:val="00E81316"/>
    <w:rsid w:val="00E813F1"/>
    <w:rsid w:val="00E821B9"/>
    <w:rsid w:val="00E8572A"/>
    <w:rsid w:val="00E907D3"/>
    <w:rsid w:val="00E90AF9"/>
    <w:rsid w:val="00E90C35"/>
    <w:rsid w:val="00E937D3"/>
    <w:rsid w:val="00E945C5"/>
    <w:rsid w:val="00E94966"/>
    <w:rsid w:val="00E949F3"/>
    <w:rsid w:val="00E955D6"/>
    <w:rsid w:val="00E96EEF"/>
    <w:rsid w:val="00E97614"/>
    <w:rsid w:val="00EA064A"/>
    <w:rsid w:val="00EA12B8"/>
    <w:rsid w:val="00EA2567"/>
    <w:rsid w:val="00EA4995"/>
    <w:rsid w:val="00EA5AC6"/>
    <w:rsid w:val="00EA5BF6"/>
    <w:rsid w:val="00EA670D"/>
    <w:rsid w:val="00EA6CF8"/>
    <w:rsid w:val="00EA7243"/>
    <w:rsid w:val="00EA72EF"/>
    <w:rsid w:val="00EA7AD9"/>
    <w:rsid w:val="00EA7D21"/>
    <w:rsid w:val="00EB0BC8"/>
    <w:rsid w:val="00EB1032"/>
    <w:rsid w:val="00EB1059"/>
    <w:rsid w:val="00EB3663"/>
    <w:rsid w:val="00EB3FAA"/>
    <w:rsid w:val="00EB4261"/>
    <w:rsid w:val="00EB540F"/>
    <w:rsid w:val="00EB6218"/>
    <w:rsid w:val="00EB698E"/>
    <w:rsid w:val="00EB721F"/>
    <w:rsid w:val="00EB7848"/>
    <w:rsid w:val="00EB7AC3"/>
    <w:rsid w:val="00EC04C9"/>
    <w:rsid w:val="00EC3185"/>
    <w:rsid w:val="00EC36C1"/>
    <w:rsid w:val="00EC477B"/>
    <w:rsid w:val="00EC4BE4"/>
    <w:rsid w:val="00EC6F9C"/>
    <w:rsid w:val="00ED2320"/>
    <w:rsid w:val="00ED3871"/>
    <w:rsid w:val="00ED518A"/>
    <w:rsid w:val="00ED5754"/>
    <w:rsid w:val="00ED5DA2"/>
    <w:rsid w:val="00ED5ED6"/>
    <w:rsid w:val="00ED6B2B"/>
    <w:rsid w:val="00ED7359"/>
    <w:rsid w:val="00ED7B40"/>
    <w:rsid w:val="00EE0E8B"/>
    <w:rsid w:val="00EE2787"/>
    <w:rsid w:val="00EE3219"/>
    <w:rsid w:val="00EE4914"/>
    <w:rsid w:val="00EE4BEF"/>
    <w:rsid w:val="00EE509A"/>
    <w:rsid w:val="00EE58E0"/>
    <w:rsid w:val="00EF1113"/>
    <w:rsid w:val="00EF27BE"/>
    <w:rsid w:val="00EF29B3"/>
    <w:rsid w:val="00EF2C07"/>
    <w:rsid w:val="00EF36C5"/>
    <w:rsid w:val="00EF4380"/>
    <w:rsid w:val="00EF514F"/>
    <w:rsid w:val="00EF5202"/>
    <w:rsid w:val="00EF5250"/>
    <w:rsid w:val="00EF5C01"/>
    <w:rsid w:val="00EF62C8"/>
    <w:rsid w:val="00EF68AB"/>
    <w:rsid w:val="00EF6997"/>
    <w:rsid w:val="00EF6ACF"/>
    <w:rsid w:val="00EF6E49"/>
    <w:rsid w:val="00F0105C"/>
    <w:rsid w:val="00F01337"/>
    <w:rsid w:val="00F026FA"/>
    <w:rsid w:val="00F02774"/>
    <w:rsid w:val="00F027C7"/>
    <w:rsid w:val="00F034F7"/>
    <w:rsid w:val="00F05236"/>
    <w:rsid w:val="00F05532"/>
    <w:rsid w:val="00F05912"/>
    <w:rsid w:val="00F06004"/>
    <w:rsid w:val="00F0730B"/>
    <w:rsid w:val="00F07C68"/>
    <w:rsid w:val="00F10AB2"/>
    <w:rsid w:val="00F1191B"/>
    <w:rsid w:val="00F11DF9"/>
    <w:rsid w:val="00F13B55"/>
    <w:rsid w:val="00F146B4"/>
    <w:rsid w:val="00F147C1"/>
    <w:rsid w:val="00F14B1E"/>
    <w:rsid w:val="00F14C65"/>
    <w:rsid w:val="00F14FB7"/>
    <w:rsid w:val="00F15C03"/>
    <w:rsid w:val="00F15DB6"/>
    <w:rsid w:val="00F1665D"/>
    <w:rsid w:val="00F1778F"/>
    <w:rsid w:val="00F212CF"/>
    <w:rsid w:val="00F22898"/>
    <w:rsid w:val="00F2290C"/>
    <w:rsid w:val="00F252FB"/>
    <w:rsid w:val="00F2550F"/>
    <w:rsid w:val="00F26A03"/>
    <w:rsid w:val="00F26CCB"/>
    <w:rsid w:val="00F27A9A"/>
    <w:rsid w:val="00F30BA1"/>
    <w:rsid w:val="00F30C9A"/>
    <w:rsid w:val="00F31A4B"/>
    <w:rsid w:val="00F32C70"/>
    <w:rsid w:val="00F33645"/>
    <w:rsid w:val="00F339FA"/>
    <w:rsid w:val="00F33AB8"/>
    <w:rsid w:val="00F34373"/>
    <w:rsid w:val="00F35F4B"/>
    <w:rsid w:val="00F36ABD"/>
    <w:rsid w:val="00F375A8"/>
    <w:rsid w:val="00F4049C"/>
    <w:rsid w:val="00F407F4"/>
    <w:rsid w:val="00F40F6E"/>
    <w:rsid w:val="00F41383"/>
    <w:rsid w:val="00F4251C"/>
    <w:rsid w:val="00F42786"/>
    <w:rsid w:val="00F43849"/>
    <w:rsid w:val="00F44599"/>
    <w:rsid w:val="00F44F67"/>
    <w:rsid w:val="00F44F94"/>
    <w:rsid w:val="00F46190"/>
    <w:rsid w:val="00F47CFB"/>
    <w:rsid w:val="00F506E9"/>
    <w:rsid w:val="00F5071A"/>
    <w:rsid w:val="00F50A3C"/>
    <w:rsid w:val="00F51548"/>
    <w:rsid w:val="00F51C24"/>
    <w:rsid w:val="00F51F14"/>
    <w:rsid w:val="00F520C6"/>
    <w:rsid w:val="00F528D1"/>
    <w:rsid w:val="00F52B8D"/>
    <w:rsid w:val="00F53733"/>
    <w:rsid w:val="00F53A81"/>
    <w:rsid w:val="00F53C16"/>
    <w:rsid w:val="00F548F6"/>
    <w:rsid w:val="00F54F7D"/>
    <w:rsid w:val="00F55653"/>
    <w:rsid w:val="00F55FC6"/>
    <w:rsid w:val="00F56D5F"/>
    <w:rsid w:val="00F56DFC"/>
    <w:rsid w:val="00F56E58"/>
    <w:rsid w:val="00F57436"/>
    <w:rsid w:val="00F57CE5"/>
    <w:rsid w:val="00F60127"/>
    <w:rsid w:val="00F609AA"/>
    <w:rsid w:val="00F60AB0"/>
    <w:rsid w:val="00F61576"/>
    <w:rsid w:val="00F6363D"/>
    <w:rsid w:val="00F638F8"/>
    <w:rsid w:val="00F66690"/>
    <w:rsid w:val="00F66942"/>
    <w:rsid w:val="00F66A44"/>
    <w:rsid w:val="00F70B82"/>
    <w:rsid w:val="00F7113C"/>
    <w:rsid w:val="00F7173E"/>
    <w:rsid w:val="00F718DE"/>
    <w:rsid w:val="00F71A45"/>
    <w:rsid w:val="00F73E1C"/>
    <w:rsid w:val="00F7435D"/>
    <w:rsid w:val="00F74A40"/>
    <w:rsid w:val="00F75300"/>
    <w:rsid w:val="00F76192"/>
    <w:rsid w:val="00F76262"/>
    <w:rsid w:val="00F76845"/>
    <w:rsid w:val="00F76D70"/>
    <w:rsid w:val="00F771B8"/>
    <w:rsid w:val="00F771CC"/>
    <w:rsid w:val="00F77901"/>
    <w:rsid w:val="00F8062F"/>
    <w:rsid w:val="00F809DC"/>
    <w:rsid w:val="00F81B7D"/>
    <w:rsid w:val="00F8234F"/>
    <w:rsid w:val="00F82470"/>
    <w:rsid w:val="00F839B3"/>
    <w:rsid w:val="00F83CA5"/>
    <w:rsid w:val="00F83ED6"/>
    <w:rsid w:val="00F844A7"/>
    <w:rsid w:val="00F847E9"/>
    <w:rsid w:val="00F84C59"/>
    <w:rsid w:val="00F84D5C"/>
    <w:rsid w:val="00F86170"/>
    <w:rsid w:val="00F8647D"/>
    <w:rsid w:val="00F869BD"/>
    <w:rsid w:val="00F87D1A"/>
    <w:rsid w:val="00F90278"/>
    <w:rsid w:val="00F912F8"/>
    <w:rsid w:val="00F9363A"/>
    <w:rsid w:val="00F9370B"/>
    <w:rsid w:val="00F93D1A"/>
    <w:rsid w:val="00F94939"/>
    <w:rsid w:val="00F94AB7"/>
    <w:rsid w:val="00F94BC5"/>
    <w:rsid w:val="00F954FF"/>
    <w:rsid w:val="00F96614"/>
    <w:rsid w:val="00F969BB"/>
    <w:rsid w:val="00F96F30"/>
    <w:rsid w:val="00F979B2"/>
    <w:rsid w:val="00F97F1D"/>
    <w:rsid w:val="00FA088D"/>
    <w:rsid w:val="00FA1578"/>
    <w:rsid w:val="00FA1995"/>
    <w:rsid w:val="00FA223C"/>
    <w:rsid w:val="00FA2905"/>
    <w:rsid w:val="00FA29D1"/>
    <w:rsid w:val="00FA2D4F"/>
    <w:rsid w:val="00FA2FE9"/>
    <w:rsid w:val="00FA30AE"/>
    <w:rsid w:val="00FA34AD"/>
    <w:rsid w:val="00FA48C2"/>
    <w:rsid w:val="00FA54ED"/>
    <w:rsid w:val="00FA5790"/>
    <w:rsid w:val="00FA62EF"/>
    <w:rsid w:val="00FA6E99"/>
    <w:rsid w:val="00FB0DAE"/>
    <w:rsid w:val="00FB4B78"/>
    <w:rsid w:val="00FB754C"/>
    <w:rsid w:val="00FB7AD4"/>
    <w:rsid w:val="00FC0114"/>
    <w:rsid w:val="00FC0A92"/>
    <w:rsid w:val="00FC11D2"/>
    <w:rsid w:val="00FC13AC"/>
    <w:rsid w:val="00FC1893"/>
    <w:rsid w:val="00FC2A19"/>
    <w:rsid w:val="00FC3331"/>
    <w:rsid w:val="00FC3ACE"/>
    <w:rsid w:val="00FC3B05"/>
    <w:rsid w:val="00FC4C94"/>
    <w:rsid w:val="00FC4D10"/>
    <w:rsid w:val="00FC53CC"/>
    <w:rsid w:val="00FC6AF2"/>
    <w:rsid w:val="00FD0587"/>
    <w:rsid w:val="00FD249E"/>
    <w:rsid w:val="00FD2B0E"/>
    <w:rsid w:val="00FD31C9"/>
    <w:rsid w:val="00FD3400"/>
    <w:rsid w:val="00FD44CD"/>
    <w:rsid w:val="00FD7829"/>
    <w:rsid w:val="00FD7999"/>
    <w:rsid w:val="00FD7D8F"/>
    <w:rsid w:val="00FE0321"/>
    <w:rsid w:val="00FE0791"/>
    <w:rsid w:val="00FE1371"/>
    <w:rsid w:val="00FE2139"/>
    <w:rsid w:val="00FE34F2"/>
    <w:rsid w:val="00FE3617"/>
    <w:rsid w:val="00FE36DC"/>
    <w:rsid w:val="00FE4B86"/>
    <w:rsid w:val="00FE61CD"/>
    <w:rsid w:val="00FE6C16"/>
    <w:rsid w:val="00FE766D"/>
    <w:rsid w:val="00FE76A1"/>
    <w:rsid w:val="00FF0D15"/>
    <w:rsid w:val="00FF25F4"/>
    <w:rsid w:val="00FF3498"/>
    <w:rsid w:val="00FF3543"/>
    <w:rsid w:val="00FF3CD4"/>
    <w:rsid w:val="00FF53F0"/>
    <w:rsid w:val="00FF5455"/>
    <w:rsid w:val="00FF6308"/>
    <w:rsid w:val="00FF7210"/>
    <w:rsid w:val="00FF771E"/>
    <w:rsid w:val="00FF7AB1"/>
    <w:rsid w:val="00FF7EBB"/>
    <w:rsid w:val="010C5741"/>
    <w:rsid w:val="011E5620"/>
    <w:rsid w:val="01262700"/>
    <w:rsid w:val="01287BEE"/>
    <w:rsid w:val="013531F3"/>
    <w:rsid w:val="013E4434"/>
    <w:rsid w:val="013F6001"/>
    <w:rsid w:val="014B4017"/>
    <w:rsid w:val="015D5EA9"/>
    <w:rsid w:val="016F125B"/>
    <w:rsid w:val="01843527"/>
    <w:rsid w:val="018A1427"/>
    <w:rsid w:val="01AF7285"/>
    <w:rsid w:val="01B4750A"/>
    <w:rsid w:val="01BF5853"/>
    <w:rsid w:val="01C7267B"/>
    <w:rsid w:val="01D07FD9"/>
    <w:rsid w:val="01E274B5"/>
    <w:rsid w:val="01EE3AED"/>
    <w:rsid w:val="01F75899"/>
    <w:rsid w:val="02017E14"/>
    <w:rsid w:val="02101275"/>
    <w:rsid w:val="02240524"/>
    <w:rsid w:val="022655F4"/>
    <w:rsid w:val="02313F99"/>
    <w:rsid w:val="02377801"/>
    <w:rsid w:val="0243350E"/>
    <w:rsid w:val="02443CCC"/>
    <w:rsid w:val="024453F9"/>
    <w:rsid w:val="02653B71"/>
    <w:rsid w:val="026B3007"/>
    <w:rsid w:val="028440C8"/>
    <w:rsid w:val="02C1165A"/>
    <w:rsid w:val="02C83E19"/>
    <w:rsid w:val="02CD73A2"/>
    <w:rsid w:val="02D04FDC"/>
    <w:rsid w:val="030376E3"/>
    <w:rsid w:val="03064EF7"/>
    <w:rsid w:val="03200295"/>
    <w:rsid w:val="032928CD"/>
    <w:rsid w:val="032D7D1B"/>
    <w:rsid w:val="033551F5"/>
    <w:rsid w:val="034B4BE6"/>
    <w:rsid w:val="034F58B6"/>
    <w:rsid w:val="03690369"/>
    <w:rsid w:val="037203C5"/>
    <w:rsid w:val="039F0875"/>
    <w:rsid w:val="03A52548"/>
    <w:rsid w:val="03A9187E"/>
    <w:rsid w:val="03C07382"/>
    <w:rsid w:val="03C30E17"/>
    <w:rsid w:val="03D1158F"/>
    <w:rsid w:val="03D41080"/>
    <w:rsid w:val="03E4704A"/>
    <w:rsid w:val="04005153"/>
    <w:rsid w:val="040D6D41"/>
    <w:rsid w:val="0414147C"/>
    <w:rsid w:val="04161C22"/>
    <w:rsid w:val="041E22FB"/>
    <w:rsid w:val="04385FB7"/>
    <w:rsid w:val="04400B08"/>
    <w:rsid w:val="04541E49"/>
    <w:rsid w:val="04610B65"/>
    <w:rsid w:val="04936845"/>
    <w:rsid w:val="049D3B67"/>
    <w:rsid w:val="04B11FDA"/>
    <w:rsid w:val="04C117B9"/>
    <w:rsid w:val="04CD089D"/>
    <w:rsid w:val="04E470A0"/>
    <w:rsid w:val="04EB6681"/>
    <w:rsid w:val="05096599"/>
    <w:rsid w:val="052B394A"/>
    <w:rsid w:val="052C420E"/>
    <w:rsid w:val="052D6C99"/>
    <w:rsid w:val="052E4D91"/>
    <w:rsid w:val="05340028"/>
    <w:rsid w:val="05392E51"/>
    <w:rsid w:val="05485881"/>
    <w:rsid w:val="054D10C0"/>
    <w:rsid w:val="054E071E"/>
    <w:rsid w:val="055E085F"/>
    <w:rsid w:val="05660BAA"/>
    <w:rsid w:val="05783AE4"/>
    <w:rsid w:val="05842089"/>
    <w:rsid w:val="05A22FE1"/>
    <w:rsid w:val="05A3319B"/>
    <w:rsid w:val="05AE31EB"/>
    <w:rsid w:val="05AE5D59"/>
    <w:rsid w:val="05B64110"/>
    <w:rsid w:val="05C051F1"/>
    <w:rsid w:val="05C05834"/>
    <w:rsid w:val="05C6456E"/>
    <w:rsid w:val="05D1385B"/>
    <w:rsid w:val="05D610DF"/>
    <w:rsid w:val="05E23A1D"/>
    <w:rsid w:val="05E23D1F"/>
    <w:rsid w:val="05F953E3"/>
    <w:rsid w:val="05FA3366"/>
    <w:rsid w:val="05FB28F4"/>
    <w:rsid w:val="060C045C"/>
    <w:rsid w:val="06124F59"/>
    <w:rsid w:val="06135E8F"/>
    <w:rsid w:val="063E3D39"/>
    <w:rsid w:val="064B6E42"/>
    <w:rsid w:val="06532EF0"/>
    <w:rsid w:val="06593E94"/>
    <w:rsid w:val="06620BC5"/>
    <w:rsid w:val="06647B3D"/>
    <w:rsid w:val="066D2B3A"/>
    <w:rsid w:val="067F40F5"/>
    <w:rsid w:val="06897EFF"/>
    <w:rsid w:val="069A408F"/>
    <w:rsid w:val="06DA4BFF"/>
    <w:rsid w:val="06F34BCA"/>
    <w:rsid w:val="0701711F"/>
    <w:rsid w:val="07097292"/>
    <w:rsid w:val="071B7714"/>
    <w:rsid w:val="07277FC9"/>
    <w:rsid w:val="074E161D"/>
    <w:rsid w:val="07652916"/>
    <w:rsid w:val="07707311"/>
    <w:rsid w:val="077A3CEC"/>
    <w:rsid w:val="077F2A8A"/>
    <w:rsid w:val="07994889"/>
    <w:rsid w:val="07A86AAB"/>
    <w:rsid w:val="07AB0E64"/>
    <w:rsid w:val="07AF362B"/>
    <w:rsid w:val="07B032C0"/>
    <w:rsid w:val="07BB4CAF"/>
    <w:rsid w:val="07EA0E72"/>
    <w:rsid w:val="07ED44BE"/>
    <w:rsid w:val="080F6B2A"/>
    <w:rsid w:val="0817778D"/>
    <w:rsid w:val="08221119"/>
    <w:rsid w:val="083D0286"/>
    <w:rsid w:val="08444A26"/>
    <w:rsid w:val="084F6F27"/>
    <w:rsid w:val="0873319A"/>
    <w:rsid w:val="08850B9A"/>
    <w:rsid w:val="088E6FF0"/>
    <w:rsid w:val="089112ED"/>
    <w:rsid w:val="08983078"/>
    <w:rsid w:val="08C03EE2"/>
    <w:rsid w:val="08C07E24"/>
    <w:rsid w:val="08C77405"/>
    <w:rsid w:val="08D3254A"/>
    <w:rsid w:val="08DE4564"/>
    <w:rsid w:val="08F7461F"/>
    <w:rsid w:val="08FA50E4"/>
    <w:rsid w:val="09093579"/>
    <w:rsid w:val="09153CCC"/>
    <w:rsid w:val="092278B6"/>
    <w:rsid w:val="092B7D06"/>
    <w:rsid w:val="09341002"/>
    <w:rsid w:val="093F51ED"/>
    <w:rsid w:val="09447048"/>
    <w:rsid w:val="095C56E9"/>
    <w:rsid w:val="096609CC"/>
    <w:rsid w:val="0971194F"/>
    <w:rsid w:val="097F1A8E"/>
    <w:rsid w:val="09894377"/>
    <w:rsid w:val="099866AB"/>
    <w:rsid w:val="09B0382E"/>
    <w:rsid w:val="09D71278"/>
    <w:rsid w:val="09D92D04"/>
    <w:rsid w:val="09DA51A9"/>
    <w:rsid w:val="09DC0C8E"/>
    <w:rsid w:val="09E16531"/>
    <w:rsid w:val="09E85885"/>
    <w:rsid w:val="09EA5159"/>
    <w:rsid w:val="09FB55B8"/>
    <w:rsid w:val="0A073F5D"/>
    <w:rsid w:val="0A1D03F8"/>
    <w:rsid w:val="0A1D21EC"/>
    <w:rsid w:val="0A1D7EA8"/>
    <w:rsid w:val="0A3F2273"/>
    <w:rsid w:val="0A474359"/>
    <w:rsid w:val="0A534859"/>
    <w:rsid w:val="0A546A76"/>
    <w:rsid w:val="0A59057A"/>
    <w:rsid w:val="0A671E73"/>
    <w:rsid w:val="0A6E026B"/>
    <w:rsid w:val="0A8530D4"/>
    <w:rsid w:val="0A8A21E9"/>
    <w:rsid w:val="0A9B1D96"/>
    <w:rsid w:val="0AA41389"/>
    <w:rsid w:val="0AEA2F37"/>
    <w:rsid w:val="0AFB170D"/>
    <w:rsid w:val="0B095AB3"/>
    <w:rsid w:val="0B204BAA"/>
    <w:rsid w:val="0B41349E"/>
    <w:rsid w:val="0B4F521C"/>
    <w:rsid w:val="0B50723E"/>
    <w:rsid w:val="0B510D02"/>
    <w:rsid w:val="0B561BC9"/>
    <w:rsid w:val="0B5D195B"/>
    <w:rsid w:val="0B6373B4"/>
    <w:rsid w:val="0B696551"/>
    <w:rsid w:val="0B6E7AA2"/>
    <w:rsid w:val="0B7078E0"/>
    <w:rsid w:val="0B751E8F"/>
    <w:rsid w:val="0B7849E6"/>
    <w:rsid w:val="0B8D01CD"/>
    <w:rsid w:val="0B980BE5"/>
    <w:rsid w:val="0B9C06D5"/>
    <w:rsid w:val="0BA43F25"/>
    <w:rsid w:val="0BB241D9"/>
    <w:rsid w:val="0BBF32D0"/>
    <w:rsid w:val="0BC02988"/>
    <w:rsid w:val="0BDF6813"/>
    <w:rsid w:val="0BE71F16"/>
    <w:rsid w:val="0BF6185F"/>
    <w:rsid w:val="0BFE313E"/>
    <w:rsid w:val="0C061FF2"/>
    <w:rsid w:val="0C19731F"/>
    <w:rsid w:val="0C31615C"/>
    <w:rsid w:val="0C34363E"/>
    <w:rsid w:val="0C395F24"/>
    <w:rsid w:val="0C3C3C66"/>
    <w:rsid w:val="0C5B40EC"/>
    <w:rsid w:val="0C684A5B"/>
    <w:rsid w:val="0C767178"/>
    <w:rsid w:val="0C8D644A"/>
    <w:rsid w:val="0C923886"/>
    <w:rsid w:val="0C955AFA"/>
    <w:rsid w:val="0CB90E13"/>
    <w:rsid w:val="0CC021A1"/>
    <w:rsid w:val="0CC223BD"/>
    <w:rsid w:val="0CDB522D"/>
    <w:rsid w:val="0CE01713"/>
    <w:rsid w:val="0CEA2936"/>
    <w:rsid w:val="0CEA36C2"/>
    <w:rsid w:val="0CFE517E"/>
    <w:rsid w:val="0D080AD0"/>
    <w:rsid w:val="0D186481"/>
    <w:rsid w:val="0D32052B"/>
    <w:rsid w:val="0D4A5F0F"/>
    <w:rsid w:val="0D556271"/>
    <w:rsid w:val="0D605732"/>
    <w:rsid w:val="0D6C6771"/>
    <w:rsid w:val="0D7336B7"/>
    <w:rsid w:val="0D7548BC"/>
    <w:rsid w:val="0D85585F"/>
    <w:rsid w:val="0D877DC9"/>
    <w:rsid w:val="0D8C3DD0"/>
    <w:rsid w:val="0D8D7B79"/>
    <w:rsid w:val="0DD007EB"/>
    <w:rsid w:val="0DE22327"/>
    <w:rsid w:val="0DE325EB"/>
    <w:rsid w:val="0DFB4490"/>
    <w:rsid w:val="0DFE5677"/>
    <w:rsid w:val="0E062EE8"/>
    <w:rsid w:val="0E1E3623"/>
    <w:rsid w:val="0E1F0A4D"/>
    <w:rsid w:val="0E235C3A"/>
    <w:rsid w:val="0E2F2F29"/>
    <w:rsid w:val="0E2F3539"/>
    <w:rsid w:val="0E34396A"/>
    <w:rsid w:val="0E3966AF"/>
    <w:rsid w:val="0E3F3599"/>
    <w:rsid w:val="0E43752E"/>
    <w:rsid w:val="0E44204B"/>
    <w:rsid w:val="0E5864AC"/>
    <w:rsid w:val="0E59038D"/>
    <w:rsid w:val="0E791531"/>
    <w:rsid w:val="0E7C659C"/>
    <w:rsid w:val="0E9F5CB2"/>
    <w:rsid w:val="0EA16002"/>
    <w:rsid w:val="0EAA293A"/>
    <w:rsid w:val="0EAC63BD"/>
    <w:rsid w:val="0EAF08E5"/>
    <w:rsid w:val="0EB2020F"/>
    <w:rsid w:val="0ED20405"/>
    <w:rsid w:val="0EE7610B"/>
    <w:rsid w:val="0EF77D11"/>
    <w:rsid w:val="0EFB2CE8"/>
    <w:rsid w:val="0F0F04C0"/>
    <w:rsid w:val="0F16254C"/>
    <w:rsid w:val="0F1C7638"/>
    <w:rsid w:val="0F292478"/>
    <w:rsid w:val="0F560B1C"/>
    <w:rsid w:val="0F562D4A"/>
    <w:rsid w:val="0F617556"/>
    <w:rsid w:val="0F7F4B3B"/>
    <w:rsid w:val="0F803E6A"/>
    <w:rsid w:val="0F854E17"/>
    <w:rsid w:val="0F89327D"/>
    <w:rsid w:val="0F8F0FD3"/>
    <w:rsid w:val="0F9A317D"/>
    <w:rsid w:val="0FBD7525"/>
    <w:rsid w:val="0FC14BAE"/>
    <w:rsid w:val="0FC93A62"/>
    <w:rsid w:val="0FD47E42"/>
    <w:rsid w:val="0FD7617F"/>
    <w:rsid w:val="0FDE1B2C"/>
    <w:rsid w:val="0FE943C3"/>
    <w:rsid w:val="0FF1636C"/>
    <w:rsid w:val="100B5E29"/>
    <w:rsid w:val="102643D8"/>
    <w:rsid w:val="102667A5"/>
    <w:rsid w:val="10275305"/>
    <w:rsid w:val="104039AC"/>
    <w:rsid w:val="10484987"/>
    <w:rsid w:val="105A103C"/>
    <w:rsid w:val="1068147F"/>
    <w:rsid w:val="108C718C"/>
    <w:rsid w:val="108E6EEA"/>
    <w:rsid w:val="10A800F7"/>
    <w:rsid w:val="10AA5A10"/>
    <w:rsid w:val="10C06C14"/>
    <w:rsid w:val="10C27E64"/>
    <w:rsid w:val="10CF0651"/>
    <w:rsid w:val="10DD77C5"/>
    <w:rsid w:val="10DF38CE"/>
    <w:rsid w:val="10EA6842"/>
    <w:rsid w:val="10EB0E22"/>
    <w:rsid w:val="110013BC"/>
    <w:rsid w:val="11032FA4"/>
    <w:rsid w:val="1106526A"/>
    <w:rsid w:val="11094BCF"/>
    <w:rsid w:val="1131366D"/>
    <w:rsid w:val="11352182"/>
    <w:rsid w:val="11494FFC"/>
    <w:rsid w:val="115A1B2C"/>
    <w:rsid w:val="116F4196"/>
    <w:rsid w:val="116F7C01"/>
    <w:rsid w:val="117F262B"/>
    <w:rsid w:val="11823EC9"/>
    <w:rsid w:val="11866D27"/>
    <w:rsid w:val="118C7777"/>
    <w:rsid w:val="11904838"/>
    <w:rsid w:val="11906993"/>
    <w:rsid w:val="11B07E16"/>
    <w:rsid w:val="11CC783A"/>
    <w:rsid w:val="11D5049D"/>
    <w:rsid w:val="11DA55CB"/>
    <w:rsid w:val="11FD5C45"/>
    <w:rsid w:val="120C02E2"/>
    <w:rsid w:val="121454AF"/>
    <w:rsid w:val="123625F6"/>
    <w:rsid w:val="12406DA8"/>
    <w:rsid w:val="12582E7C"/>
    <w:rsid w:val="125C0BBE"/>
    <w:rsid w:val="126637EB"/>
    <w:rsid w:val="12675747"/>
    <w:rsid w:val="127777A6"/>
    <w:rsid w:val="12942106"/>
    <w:rsid w:val="12995D7D"/>
    <w:rsid w:val="129C0FBA"/>
    <w:rsid w:val="12A25865"/>
    <w:rsid w:val="12BF1454"/>
    <w:rsid w:val="12C601FA"/>
    <w:rsid w:val="12D820E3"/>
    <w:rsid w:val="12E0359D"/>
    <w:rsid w:val="12E52961"/>
    <w:rsid w:val="12E866F7"/>
    <w:rsid w:val="12F14C71"/>
    <w:rsid w:val="12F531CF"/>
    <w:rsid w:val="12F6691D"/>
    <w:rsid w:val="13024C14"/>
    <w:rsid w:val="13076D7C"/>
    <w:rsid w:val="130848A2"/>
    <w:rsid w:val="132966A1"/>
    <w:rsid w:val="134F28D0"/>
    <w:rsid w:val="135D0927"/>
    <w:rsid w:val="136C6F39"/>
    <w:rsid w:val="13701321"/>
    <w:rsid w:val="137019EF"/>
    <w:rsid w:val="13825AE9"/>
    <w:rsid w:val="13847EE6"/>
    <w:rsid w:val="138A3509"/>
    <w:rsid w:val="13914897"/>
    <w:rsid w:val="13976F45"/>
    <w:rsid w:val="13A94EAE"/>
    <w:rsid w:val="13BB7B66"/>
    <w:rsid w:val="13C101D4"/>
    <w:rsid w:val="13D643D3"/>
    <w:rsid w:val="13DA2500"/>
    <w:rsid w:val="13FA00F2"/>
    <w:rsid w:val="14011623"/>
    <w:rsid w:val="143811B7"/>
    <w:rsid w:val="14432EA4"/>
    <w:rsid w:val="144E5BAF"/>
    <w:rsid w:val="144F2299"/>
    <w:rsid w:val="145217E5"/>
    <w:rsid w:val="14704EEF"/>
    <w:rsid w:val="147A6B01"/>
    <w:rsid w:val="148D1503"/>
    <w:rsid w:val="14A0341C"/>
    <w:rsid w:val="14D232A5"/>
    <w:rsid w:val="14DE23CD"/>
    <w:rsid w:val="14DE3B0C"/>
    <w:rsid w:val="14F35954"/>
    <w:rsid w:val="14FB0751"/>
    <w:rsid w:val="14FD52A3"/>
    <w:rsid w:val="15037670"/>
    <w:rsid w:val="15270EA5"/>
    <w:rsid w:val="15273705"/>
    <w:rsid w:val="1535110C"/>
    <w:rsid w:val="155B59C2"/>
    <w:rsid w:val="15657D89"/>
    <w:rsid w:val="156C2BE7"/>
    <w:rsid w:val="157E0E4B"/>
    <w:rsid w:val="15834B5D"/>
    <w:rsid w:val="15AA7E92"/>
    <w:rsid w:val="15BD4174"/>
    <w:rsid w:val="15C444F2"/>
    <w:rsid w:val="15D05B4B"/>
    <w:rsid w:val="15D83EF3"/>
    <w:rsid w:val="15E11B06"/>
    <w:rsid w:val="15EA0D8D"/>
    <w:rsid w:val="15EB699C"/>
    <w:rsid w:val="15F57E72"/>
    <w:rsid w:val="1629525B"/>
    <w:rsid w:val="16467BBB"/>
    <w:rsid w:val="165D6CB3"/>
    <w:rsid w:val="165E3157"/>
    <w:rsid w:val="16774BAB"/>
    <w:rsid w:val="16783AEC"/>
    <w:rsid w:val="167E612A"/>
    <w:rsid w:val="169F72CB"/>
    <w:rsid w:val="16A6065A"/>
    <w:rsid w:val="16B56AEF"/>
    <w:rsid w:val="16BF1029"/>
    <w:rsid w:val="16C61609"/>
    <w:rsid w:val="16F40C3C"/>
    <w:rsid w:val="17045380"/>
    <w:rsid w:val="170830C2"/>
    <w:rsid w:val="17123F41"/>
    <w:rsid w:val="172A3039"/>
    <w:rsid w:val="175968AF"/>
    <w:rsid w:val="177469AA"/>
    <w:rsid w:val="17747650"/>
    <w:rsid w:val="177C13BA"/>
    <w:rsid w:val="177E2AB7"/>
    <w:rsid w:val="178117D4"/>
    <w:rsid w:val="17893D20"/>
    <w:rsid w:val="17B9260F"/>
    <w:rsid w:val="18003D99"/>
    <w:rsid w:val="180134A0"/>
    <w:rsid w:val="180A1371"/>
    <w:rsid w:val="18133ACD"/>
    <w:rsid w:val="18476BF2"/>
    <w:rsid w:val="18520A8C"/>
    <w:rsid w:val="18694C95"/>
    <w:rsid w:val="18702CCD"/>
    <w:rsid w:val="18811E56"/>
    <w:rsid w:val="18826EA4"/>
    <w:rsid w:val="18846779"/>
    <w:rsid w:val="18896025"/>
    <w:rsid w:val="18952734"/>
    <w:rsid w:val="189A548D"/>
    <w:rsid w:val="18A515AE"/>
    <w:rsid w:val="18BA4890"/>
    <w:rsid w:val="18CE5C46"/>
    <w:rsid w:val="18D72D4C"/>
    <w:rsid w:val="18DA45EA"/>
    <w:rsid w:val="18DB06A3"/>
    <w:rsid w:val="18DC0363"/>
    <w:rsid w:val="18FB0F3F"/>
    <w:rsid w:val="190713BA"/>
    <w:rsid w:val="19145D4E"/>
    <w:rsid w:val="1917583F"/>
    <w:rsid w:val="19354D05"/>
    <w:rsid w:val="195B397A"/>
    <w:rsid w:val="196547FC"/>
    <w:rsid w:val="196640D0"/>
    <w:rsid w:val="19697C17"/>
    <w:rsid w:val="197D4D53"/>
    <w:rsid w:val="19834C82"/>
    <w:rsid w:val="19885E5B"/>
    <w:rsid w:val="19937EB2"/>
    <w:rsid w:val="19A45D24"/>
    <w:rsid w:val="19B24D1E"/>
    <w:rsid w:val="19B72B7E"/>
    <w:rsid w:val="19D2474C"/>
    <w:rsid w:val="19D61256"/>
    <w:rsid w:val="19D91B98"/>
    <w:rsid w:val="19E06946"/>
    <w:rsid w:val="19E2324A"/>
    <w:rsid w:val="19E87054"/>
    <w:rsid w:val="19EB386F"/>
    <w:rsid w:val="1A0758B3"/>
    <w:rsid w:val="1A166F21"/>
    <w:rsid w:val="1A1703B3"/>
    <w:rsid w:val="1A2659AE"/>
    <w:rsid w:val="1A4C2DB9"/>
    <w:rsid w:val="1A530AF8"/>
    <w:rsid w:val="1A7839E3"/>
    <w:rsid w:val="1A7F18ED"/>
    <w:rsid w:val="1A8011C2"/>
    <w:rsid w:val="1A8043A5"/>
    <w:rsid w:val="1AA50C28"/>
    <w:rsid w:val="1ABC63E6"/>
    <w:rsid w:val="1AC47300"/>
    <w:rsid w:val="1AF76ADC"/>
    <w:rsid w:val="1B0A2CD0"/>
    <w:rsid w:val="1B0B3181"/>
    <w:rsid w:val="1B244243"/>
    <w:rsid w:val="1B245FF1"/>
    <w:rsid w:val="1B334486"/>
    <w:rsid w:val="1B410951"/>
    <w:rsid w:val="1B6C67EC"/>
    <w:rsid w:val="1B6D02BB"/>
    <w:rsid w:val="1B735A7D"/>
    <w:rsid w:val="1B8F2523"/>
    <w:rsid w:val="1B974EC3"/>
    <w:rsid w:val="1BE007BA"/>
    <w:rsid w:val="1BEC6B0F"/>
    <w:rsid w:val="1BF8323F"/>
    <w:rsid w:val="1BFD4988"/>
    <w:rsid w:val="1C022A2A"/>
    <w:rsid w:val="1C191753"/>
    <w:rsid w:val="1C224C26"/>
    <w:rsid w:val="1C420E24"/>
    <w:rsid w:val="1C596E32"/>
    <w:rsid w:val="1C60574F"/>
    <w:rsid w:val="1C6E1C1A"/>
    <w:rsid w:val="1C7318F2"/>
    <w:rsid w:val="1C7B4496"/>
    <w:rsid w:val="1C967BEB"/>
    <w:rsid w:val="1C9F3F1F"/>
    <w:rsid w:val="1CBF184B"/>
    <w:rsid w:val="1CBF723D"/>
    <w:rsid w:val="1CC41839"/>
    <w:rsid w:val="1CCA46FE"/>
    <w:rsid w:val="1CD42B4D"/>
    <w:rsid w:val="1CED603F"/>
    <w:rsid w:val="1D1032F0"/>
    <w:rsid w:val="1D1A7A3A"/>
    <w:rsid w:val="1D2642A2"/>
    <w:rsid w:val="1D2B3667"/>
    <w:rsid w:val="1D2F5AA8"/>
    <w:rsid w:val="1D3369BF"/>
    <w:rsid w:val="1D6B70EC"/>
    <w:rsid w:val="1D6B7F07"/>
    <w:rsid w:val="1D7E536E"/>
    <w:rsid w:val="1D90796E"/>
    <w:rsid w:val="1DA17DCD"/>
    <w:rsid w:val="1DAD449C"/>
    <w:rsid w:val="1DAE70EF"/>
    <w:rsid w:val="1DBC69B5"/>
    <w:rsid w:val="1DD2442A"/>
    <w:rsid w:val="1DD41206"/>
    <w:rsid w:val="1DD737EE"/>
    <w:rsid w:val="1DDE5E29"/>
    <w:rsid w:val="1DDE692B"/>
    <w:rsid w:val="1DEC729A"/>
    <w:rsid w:val="1DF42526"/>
    <w:rsid w:val="1DF919B7"/>
    <w:rsid w:val="1E0D3FD6"/>
    <w:rsid w:val="1E162B8B"/>
    <w:rsid w:val="1E264686"/>
    <w:rsid w:val="1E2647EF"/>
    <w:rsid w:val="1E2D37B2"/>
    <w:rsid w:val="1E6F1C79"/>
    <w:rsid w:val="1E851F92"/>
    <w:rsid w:val="1E85324A"/>
    <w:rsid w:val="1E8A0861"/>
    <w:rsid w:val="1EA37897"/>
    <w:rsid w:val="1EBA2EF4"/>
    <w:rsid w:val="1EDB2E6A"/>
    <w:rsid w:val="1EE12B77"/>
    <w:rsid w:val="1EE14925"/>
    <w:rsid w:val="1EE1716B"/>
    <w:rsid w:val="1EFB52BB"/>
    <w:rsid w:val="1F0C74C8"/>
    <w:rsid w:val="1F147E06"/>
    <w:rsid w:val="1F204D21"/>
    <w:rsid w:val="1F2B15E4"/>
    <w:rsid w:val="1F31586A"/>
    <w:rsid w:val="1F391525"/>
    <w:rsid w:val="1F57115F"/>
    <w:rsid w:val="1F5E27C4"/>
    <w:rsid w:val="1F705CA9"/>
    <w:rsid w:val="1F7A6B27"/>
    <w:rsid w:val="1F935BB2"/>
    <w:rsid w:val="1FB65588"/>
    <w:rsid w:val="1FC97167"/>
    <w:rsid w:val="1FCA360B"/>
    <w:rsid w:val="1FDA0104"/>
    <w:rsid w:val="1FDE4936"/>
    <w:rsid w:val="1FFC696B"/>
    <w:rsid w:val="1FFF3FE9"/>
    <w:rsid w:val="20000B35"/>
    <w:rsid w:val="200308CB"/>
    <w:rsid w:val="200563F1"/>
    <w:rsid w:val="20112FE8"/>
    <w:rsid w:val="2013016A"/>
    <w:rsid w:val="20142AD8"/>
    <w:rsid w:val="20144886"/>
    <w:rsid w:val="201553A4"/>
    <w:rsid w:val="20290441"/>
    <w:rsid w:val="202E2177"/>
    <w:rsid w:val="203812CA"/>
    <w:rsid w:val="203D202F"/>
    <w:rsid w:val="20494337"/>
    <w:rsid w:val="2065451A"/>
    <w:rsid w:val="206A26F8"/>
    <w:rsid w:val="206B5697"/>
    <w:rsid w:val="208F6387"/>
    <w:rsid w:val="2094072A"/>
    <w:rsid w:val="209459C7"/>
    <w:rsid w:val="20997FF6"/>
    <w:rsid w:val="20A61500"/>
    <w:rsid w:val="20BC3635"/>
    <w:rsid w:val="20BD0D95"/>
    <w:rsid w:val="20CB09F1"/>
    <w:rsid w:val="20F06ABF"/>
    <w:rsid w:val="20F3093F"/>
    <w:rsid w:val="20F40E74"/>
    <w:rsid w:val="21057E7F"/>
    <w:rsid w:val="2110608B"/>
    <w:rsid w:val="211526F1"/>
    <w:rsid w:val="212465B1"/>
    <w:rsid w:val="212A1E87"/>
    <w:rsid w:val="215018EE"/>
    <w:rsid w:val="215E244E"/>
    <w:rsid w:val="21636A85"/>
    <w:rsid w:val="21770D4F"/>
    <w:rsid w:val="217C08D9"/>
    <w:rsid w:val="21823A71"/>
    <w:rsid w:val="21855E15"/>
    <w:rsid w:val="21865435"/>
    <w:rsid w:val="21871088"/>
    <w:rsid w:val="218D48F0"/>
    <w:rsid w:val="21985824"/>
    <w:rsid w:val="21B42705"/>
    <w:rsid w:val="21B94789"/>
    <w:rsid w:val="21E55DE6"/>
    <w:rsid w:val="21FB5FBB"/>
    <w:rsid w:val="222114DC"/>
    <w:rsid w:val="22244B28"/>
    <w:rsid w:val="222A213F"/>
    <w:rsid w:val="22325497"/>
    <w:rsid w:val="225E003A"/>
    <w:rsid w:val="226F01FB"/>
    <w:rsid w:val="22721D38"/>
    <w:rsid w:val="228D0D13"/>
    <w:rsid w:val="229B1BDB"/>
    <w:rsid w:val="229B4DEB"/>
    <w:rsid w:val="229C0B63"/>
    <w:rsid w:val="229C21D2"/>
    <w:rsid w:val="229D0C0C"/>
    <w:rsid w:val="22CC769A"/>
    <w:rsid w:val="22CD0962"/>
    <w:rsid w:val="22CE3C93"/>
    <w:rsid w:val="22D24584"/>
    <w:rsid w:val="22DD3655"/>
    <w:rsid w:val="22E45DFE"/>
    <w:rsid w:val="22E5075C"/>
    <w:rsid w:val="22F47EEF"/>
    <w:rsid w:val="23144B9D"/>
    <w:rsid w:val="231C3AD6"/>
    <w:rsid w:val="23256680"/>
    <w:rsid w:val="232C1EE7"/>
    <w:rsid w:val="234611FA"/>
    <w:rsid w:val="235773C9"/>
    <w:rsid w:val="236B0C61"/>
    <w:rsid w:val="238F2E62"/>
    <w:rsid w:val="23A14683"/>
    <w:rsid w:val="23BE3486"/>
    <w:rsid w:val="23CA37FC"/>
    <w:rsid w:val="23D07411"/>
    <w:rsid w:val="23D07EDB"/>
    <w:rsid w:val="23D24BDB"/>
    <w:rsid w:val="23EE3640"/>
    <w:rsid w:val="23F52409"/>
    <w:rsid w:val="23FE41FA"/>
    <w:rsid w:val="240A6967"/>
    <w:rsid w:val="24101B59"/>
    <w:rsid w:val="24206DCC"/>
    <w:rsid w:val="243B7D4B"/>
    <w:rsid w:val="243E0123"/>
    <w:rsid w:val="245E07C6"/>
    <w:rsid w:val="247A6DD0"/>
    <w:rsid w:val="24885842"/>
    <w:rsid w:val="248A0A3D"/>
    <w:rsid w:val="24917842"/>
    <w:rsid w:val="249F1935"/>
    <w:rsid w:val="24AF2DCF"/>
    <w:rsid w:val="24B176FF"/>
    <w:rsid w:val="24B61A74"/>
    <w:rsid w:val="24B65F0C"/>
    <w:rsid w:val="24BD373E"/>
    <w:rsid w:val="24C31EDA"/>
    <w:rsid w:val="24CD76F9"/>
    <w:rsid w:val="24D6196E"/>
    <w:rsid w:val="24E072C3"/>
    <w:rsid w:val="250D7AF6"/>
    <w:rsid w:val="25100A56"/>
    <w:rsid w:val="254050C3"/>
    <w:rsid w:val="255120D8"/>
    <w:rsid w:val="25580578"/>
    <w:rsid w:val="25595C5B"/>
    <w:rsid w:val="25705D05"/>
    <w:rsid w:val="2579542C"/>
    <w:rsid w:val="2580476C"/>
    <w:rsid w:val="25890E09"/>
    <w:rsid w:val="258D2325"/>
    <w:rsid w:val="25911379"/>
    <w:rsid w:val="259A2AFA"/>
    <w:rsid w:val="25A236AC"/>
    <w:rsid w:val="25BA0389"/>
    <w:rsid w:val="25E96F5B"/>
    <w:rsid w:val="25F62749"/>
    <w:rsid w:val="25FF350C"/>
    <w:rsid w:val="26193402"/>
    <w:rsid w:val="26203464"/>
    <w:rsid w:val="262308A7"/>
    <w:rsid w:val="262F4154"/>
    <w:rsid w:val="26355556"/>
    <w:rsid w:val="266320C3"/>
    <w:rsid w:val="26720558"/>
    <w:rsid w:val="267A2D77"/>
    <w:rsid w:val="268B6D35"/>
    <w:rsid w:val="268B6FEB"/>
    <w:rsid w:val="26A875B1"/>
    <w:rsid w:val="26AC3A6A"/>
    <w:rsid w:val="26CE25F9"/>
    <w:rsid w:val="26D052F6"/>
    <w:rsid w:val="26EA4592"/>
    <w:rsid w:val="27041451"/>
    <w:rsid w:val="270B5F28"/>
    <w:rsid w:val="271F662A"/>
    <w:rsid w:val="27381787"/>
    <w:rsid w:val="275B723E"/>
    <w:rsid w:val="275C37BB"/>
    <w:rsid w:val="276A7481"/>
    <w:rsid w:val="278443E1"/>
    <w:rsid w:val="27A504B9"/>
    <w:rsid w:val="27A74232"/>
    <w:rsid w:val="27BD1CA7"/>
    <w:rsid w:val="27C14230"/>
    <w:rsid w:val="27E50F81"/>
    <w:rsid w:val="27ED4F18"/>
    <w:rsid w:val="28095F37"/>
    <w:rsid w:val="280C5CCA"/>
    <w:rsid w:val="28100259"/>
    <w:rsid w:val="282633A8"/>
    <w:rsid w:val="282F4761"/>
    <w:rsid w:val="28321D4D"/>
    <w:rsid w:val="28333D17"/>
    <w:rsid w:val="284978BE"/>
    <w:rsid w:val="284F6DA3"/>
    <w:rsid w:val="28500425"/>
    <w:rsid w:val="28595135"/>
    <w:rsid w:val="28754330"/>
    <w:rsid w:val="288129AA"/>
    <w:rsid w:val="288F53F1"/>
    <w:rsid w:val="289D5E22"/>
    <w:rsid w:val="28A40771"/>
    <w:rsid w:val="28A95D87"/>
    <w:rsid w:val="28AE7505"/>
    <w:rsid w:val="28B079A6"/>
    <w:rsid w:val="28B210E0"/>
    <w:rsid w:val="28DA1C97"/>
    <w:rsid w:val="28FA4FEC"/>
    <w:rsid w:val="290D4568"/>
    <w:rsid w:val="291C6AFE"/>
    <w:rsid w:val="29283AE4"/>
    <w:rsid w:val="293B0995"/>
    <w:rsid w:val="29453D02"/>
    <w:rsid w:val="295D729E"/>
    <w:rsid w:val="295E6B72"/>
    <w:rsid w:val="296F703C"/>
    <w:rsid w:val="29702DE9"/>
    <w:rsid w:val="29791CCE"/>
    <w:rsid w:val="299F41FE"/>
    <w:rsid w:val="29A216F1"/>
    <w:rsid w:val="29AF561F"/>
    <w:rsid w:val="29BA0EAB"/>
    <w:rsid w:val="29C27101"/>
    <w:rsid w:val="29CE2227"/>
    <w:rsid w:val="29F010C4"/>
    <w:rsid w:val="29FA4AED"/>
    <w:rsid w:val="2A063491"/>
    <w:rsid w:val="2A070FB7"/>
    <w:rsid w:val="2A457141"/>
    <w:rsid w:val="2A496980"/>
    <w:rsid w:val="2A4B359A"/>
    <w:rsid w:val="2A4F5310"/>
    <w:rsid w:val="2A52506F"/>
    <w:rsid w:val="2A644032"/>
    <w:rsid w:val="2A8140D4"/>
    <w:rsid w:val="2A9C1525"/>
    <w:rsid w:val="2ADA66CC"/>
    <w:rsid w:val="2ADC41F2"/>
    <w:rsid w:val="2AE64910"/>
    <w:rsid w:val="2AF003D0"/>
    <w:rsid w:val="2AFC6932"/>
    <w:rsid w:val="2B1B2FFD"/>
    <w:rsid w:val="2B334FBF"/>
    <w:rsid w:val="2B437830"/>
    <w:rsid w:val="2B4474FC"/>
    <w:rsid w:val="2B455583"/>
    <w:rsid w:val="2B696F85"/>
    <w:rsid w:val="2B935484"/>
    <w:rsid w:val="2BC058C2"/>
    <w:rsid w:val="2BC62294"/>
    <w:rsid w:val="2BD10619"/>
    <w:rsid w:val="2BDD1D05"/>
    <w:rsid w:val="2BF13CCD"/>
    <w:rsid w:val="2BF3791C"/>
    <w:rsid w:val="2BF90339"/>
    <w:rsid w:val="2C012128"/>
    <w:rsid w:val="2C365B84"/>
    <w:rsid w:val="2C5B55EB"/>
    <w:rsid w:val="2C6052D4"/>
    <w:rsid w:val="2C6E3570"/>
    <w:rsid w:val="2C6E40DB"/>
    <w:rsid w:val="2C750638"/>
    <w:rsid w:val="2C8D1276"/>
    <w:rsid w:val="2C8F5D15"/>
    <w:rsid w:val="2CAD72AC"/>
    <w:rsid w:val="2CB142A9"/>
    <w:rsid w:val="2CF241A1"/>
    <w:rsid w:val="2CFC41F4"/>
    <w:rsid w:val="2D253A3D"/>
    <w:rsid w:val="2D2A6E58"/>
    <w:rsid w:val="2D4367C4"/>
    <w:rsid w:val="2D452523"/>
    <w:rsid w:val="2D484715"/>
    <w:rsid w:val="2D5409B8"/>
    <w:rsid w:val="2D594220"/>
    <w:rsid w:val="2D90095F"/>
    <w:rsid w:val="2D99286E"/>
    <w:rsid w:val="2DA44181"/>
    <w:rsid w:val="2DAC5523"/>
    <w:rsid w:val="2DAF5BEE"/>
    <w:rsid w:val="2DBB0ACA"/>
    <w:rsid w:val="2DBB4593"/>
    <w:rsid w:val="2DC378EB"/>
    <w:rsid w:val="2DCA0F4D"/>
    <w:rsid w:val="2DCA5BD6"/>
    <w:rsid w:val="2DD80BA8"/>
    <w:rsid w:val="2DE02908"/>
    <w:rsid w:val="2DFF0535"/>
    <w:rsid w:val="2E206AEC"/>
    <w:rsid w:val="2E33681F"/>
    <w:rsid w:val="2E35102B"/>
    <w:rsid w:val="2E362201"/>
    <w:rsid w:val="2E406FC4"/>
    <w:rsid w:val="2E497DF1"/>
    <w:rsid w:val="2E5868CE"/>
    <w:rsid w:val="2E644C2A"/>
    <w:rsid w:val="2E7A13F0"/>
    <w:rsid w:val="2E80408C"/>
    <w:rsid w:val="2E8A78A2"/>
    <w:rsid w:val="2EC94D67"/>
    <w:rsid w:val="2EE45D6B"/>
    <w:rsid w:val="2EF205B0"/>
    <w:rsid w:val="2F17377A"/>
    <w:rsid w:val="2F237FA6"/>
    <w:rsid w:val="2F2748D8"/>
    <w:rsid w:val="2F3C4CFF"/>
    <w:rsid w:val="2F3C7955"/>
    <w:rsid w:val="2F476681"/>
    <w:rsid w:val="2F5051AF"/>
    <w:rsid w:val="2F546A4D"/>
    <w:rsid w:val="2F58315C"/>
    <w:rsid w:val="2F715851"/>
    <w:rsid w:val="2F93220A"/>
    <w:rsid w:val="2FA5140D"/>
    <w:rsid w:val="2FAC0094"/>
    <w:rsid w:val="2FD93563"/>
    <w:rsid w:val="2FE61316"/>
    <w:rsid w:val="2FE853E7"/>
    <w:rsid w:val="2FFE6258"/>
    <w:rsid w:val="300A491C"/>
    <w:rsid w:val="300C7AE0"/>
    <w:rsid w:val="300D151A"/>
    <w:rsid w:val="30170B2F"/>
    <w:rsid w:val="30274161"/>
    <w:rsid w:val="302E34D2"/>
    <w:rsid w:val="30467047"/>
    <w:rsid w:val="30536D05"/>
    <w:rsid w:val="306B2F75"/>
    <w:rsid w:val="3082085A"/>
    <w:rsid w:val="308275EA"/>
    <w:rsid w:val="30881B66"/>
    <w:rsid w:val="30891D53"/>
    <w:rsid w:val="308F5F46"/>
    <w:rsid w:val="30A112E4"/>
    <w:rsid w:val="30AD1D5B"/>
    <w:rsid w:val="30B67293"/>
    <w:rsid w:val="30C23E8A"/>
    <w:rsid w:val="30C86A3D"/>
    <w:rsid w:val="30D057F2"/>
    <w:rsid w:val="30D339B1"/>
    <w:rsid w:val="30D721AE"/>
    <w:rsid w:val="30D9727D"/>
    <w:rsid w:val="30E86EC6"/>
    <w:rsid w:val="31026BA5"/>
    <w:rsid w:val="31034CBA"/>
    <w:rsid w:val="311741D6"/>
    <w:rsid w:val="312318E5"/>
    <w:rsid w:val="314605E5"/>
    <w:rsid w:val="315E1146"/>
    <w:rsid w:val="31886E82"/>
    <w:rsid w:val="31A517E2"/>
    <w:rsid w:val="31B00187"/>
    <w:rsid w:val="31B152BB"/>
    <w:rsid w:val="31D75713"/>
    <w:rsid w:val="31E5172B"/>
    <w:rsid w:val="31F80989"/>
    <w:rsid w:val="320C1861"/>
    <w:rsid w:val="320D15EB"/>
    <w:rsid w:val="322A7F39"/>
    <w:rsid w:val="322F49C5"/>
    <w:rsid w:val="324A02BD"/>
    <w:rsid w:val="32530A41"/>
    <w:rsid w:val="326D4C51"/>
    <w:rsid w:val="328E04C8"/>
    <w:rsid w:val="32A61CB5"/>
    <w:rsid w:val="32AA29C1"/>
    <w:rsid w:val="32B617CD"/>
    <w:rsid w:val="32C025AA"/>
    <w:rsid w:val="32C3279A"/>
    <w:rsid w:val="32C92BA2"/>
    <w:rsid w:val="32CC2D9E"/>
    <w:rsid w:val="32D5783D"/>
    <w:rsid w:val="32E93950"/>
    <w:rsid w:val="32F45598"/>
    <w:rsid w:val="333A1AAD"/>
    <w:rsid w:val="333E24E0"/>
    <w:rsid w:val="335E04E2"/>
    <w:rsid w:val="337332C7"/>
    <w:rsid w:val="33896A37"/>
    <w:rsid w:val="33923FE8"/>
    <w:rsid w:val="339746F7"/>
    <w:rsid w:val="33A912E3"/>
    <w:rsid w:val="33AD18C5"/>
    <w:rsid w:val="33AE5354"/>
    <w:rsid w:val="33BC7687"/>
    <w:rsid w:val="33E55C2C"/>
    <w:rsid w:val="33E60450"/>
    <w:rsid w:val="33EE1882"/>
    <w:rsid w:val="33F33AFA"/>
    <w:rsid w:val="33FB7B9D"/>
    <w:rsid w:val="34026F59"/>
    <w:rsid w:val="34076784"/>
    <w:rsid w:val="34084390"/>
    <w:rsid w:val="34121F2E"/>
    <w:rsid w:val="343432F1"/>
    <w:rsid w:val="344323CC"/>
    <w:rsid w:val="345117AD"/>
    <w:rsid w:val="346559BF"/>
    <w:rsid w:val="34661D73"/>
    <w:rsid w:val="34880AE9"/>
    <w:rsid w:val="34967BB7"/>
    <w:rsid w:val="34A45F78"/>
    <w:rsid w:val="34B32468"/>
    <w:rsid w:val="34BB756E"/>
    <w:rsid w:val="34D56690"/>
    <w:rsid w:val="34D80D6B"/>
    <w:rsid w:val="34DD1293"/>
    <w:rsid w:val="350E12BD"/>
    <w:rsid w:val="351C625F"/>
    <w:rsid w:val="351E1A68"/>
    <w:rsid w:val="3522139B"/>
    <w:rsid w:val="356419B4"/>
    <w:rsid w:val="357A5672"/>
    <w:rsid w:val="35834355"/>
    <w:rsid w:val="35912913"/>
    <w:rsid w:val="35920530"/>
    <w:rsid w:val="359D417E"/>
    <w:rsid w:val="35A319F5"/>
    <w:rsid w:val="35A32892"/>
    <w:rsid w:val="35A531FC"/>
    <w:rsid w:val="35AA4D85"/>
    <w:rsid w:val="35AD6EB7"/>
    <w:rsid w:val="35C54A33"/>
    <w:rsid w:val="35CD7559"/>
    <w:rsid w:val="35D55AB1"/>
    <w:rsid w:val="35DD3EFD"/>
    <w:rsid w:val="35E136BF"/>
    <w:rsid w:val="35F66AB0"/>
    <w:rsid w:val="36063EE8"/>
    <w:rsid w:val="360D5BA8"/>
    <w:rsid w:val="361D6552"/>
    <w:rsid w:val="36252EF1"/>
    <w:rsid w:val="362D624A"/>
    <w:rsid w:val="362F5B1E"/>
    <w:rsid w:val="36301896"/>
    <w:rsid w:val="36324235"/>
    <w:rsid w:val="363C023B"/>
    <w:rsid w:val="364312FE"/>
    <w:rsid w:val="36583E4E"/>
    <w:rsid w:val="366128CE"/>
    <w:rsid w:val="36696F60"/>
    <w:rsid w:val="366D6646"/>
    <w:rsid w:val="368251D7"/>
    <w:rsid w:val="368D0A96"/>
    <w:rsid w:val="369C2F39"/>
    <w:rsid w:val="36A93B22"/>
    <w:rsid w:val="36AE3FF5"/>
    <w:rsid w:val="36E424D4"/>
    <w:rsid w:val="36E55BDB"/>
    <w:rsid w:val="36E73E57"/>
    <w:rsid w:val="36F25252"/>
    <w:rsid w:val="36F47456"/>
    <w:rsid w:val="36F56D7F"/>
    <w:rsid w:val="36F823B4"/>
    <w:rsid w:val="370C358F"/>
    <w:rsid w:val="370E3A67"/>
    <w:rsid w:val="371E0362"/>
    <w:rsid w:val="37205DD3"/>
    <w:rsid w:val="372C2908"/>
    <w:rsid w:val="3732091F"/>
    <w:rsid w:val="375B6FEA"/>
    <w:rsid w:val="37685DCB"/>
    <w:rsid w:val="37995ADC"/>
    <w:rsid w:val="37A56281"/>
    <w:rsid w:val="37A662B4"/>
    <w:rsid w:val="37BA42F4"/>
    <w:rsid w:val="37BE2421"/>
    <w:rsid w:val="37C624B2"/>
    <w:rsid w:val="37DC1CD5"/>
    <w:rsid w:val="38000912"/>
    <w:rsid w:val="38051BB9"/>
    <w:rsid w:val="38084944"/>
    <w:rsid w:val="381E48E5"/>
    <w:rsid w:val="38725388"/>
    <w:rsid w:val="387302C4"/>
    <w:rsid w:val="388F4FD2"/>
    <w:rsid w:val="389D76B7"/>
    <w:rsid w:val="389E51DD"/>
    <w:rsid w:val="389E7291"/>
    <w:rsid w:val="38AF1198"/>
    <w:rsid w:val="38BB5631"/>
    <w:rsid w:val="38C51ECE"/>
    <w:rsid w:val="38C712F0"/>
    <w:rsid w:val="38CD035A"/>
    <w:rsid w:val="38D21E00"/>
    <w:rsid w:val="38E2331B"/>
    <w:rsid w:val="38F66156"/>
    <w:rsid w:val="39094D4C"/>
    <w:rsid w:val="3911775D"/>
    <w:rsid w:val="391C6C3E"/>
    <w:rsid w:val="39291B42"/>
    <w:rsid w:val="392A3A18"/>
    <w:rsid w:val="393A099F"/>
    <w:rsid w:val="394418E0"/>
    <w:rsid w:val="39461AFC"/>
    <w:rsid w:val="39484BFE"/>
    <w:rsid w:val="39557218"/>
    <w:rsid w:val="395D3BAF"/>
    <w:rsid w:val="39697599"/>
    <w:rsid w:val="39747662"/>
    <w:rsid w:val="397D4DF2"/>
    <w:rsid w:val="39872894"/>
    <w:rsid w:val="399177FE"/>
    <w:rsid w:val="39A43F0C"/>
    <w:rsid w:val="39AB7BB1"/>
    <w:rsid w:val="39B051C8"/>
    <w:rsid w:val="39B86A5B"/>
    <w:rsid w:val="39BB4264"/>
    <w:rsid w:val="39EE5CF0"/>
    <w:rsid w:val="3A0557A4"/>
    <w:rsid w:val="3A1C0EA1"/>
    <w:rsid w:val="3A256ECF"/>
    <w:rsid w:val="3A284160"/>
    <w:rsid w:val="3A2870CC"/>
    <w:rsid w:val="3A575643"/>
    <w:rsid w:val="3A667F7C"/>
    <w:rsid w:val="3A7C1D7E"/>
    <w:rsid w:val="3A911EBA"/>
    <w:rsid w:val="3AA72623"/>
    <w:rsid w:val="3AA932A3"/>
    <w:rsid w:val="3ABF120D"/>
    <w:rsid w:val="3AC277BC"/>
    <w:rsid w:val="3AD46C94"/>
    <w:rsid w:val="3ADE5D64"/>
    <w:rsid w:val="3AEA295B"/>
    <w:rsid w:val="3AEF0F5F"/>
    <w:rsid w:val="3AF47E6D"/>
    <w:rsid w:val="3B023801"/>
    <w:rsid w:val="3B182927"/>
    <w:rsid w:val="3B3140E6"/>
    <w:rsid w:val="3B33651B"/>
    <w:rsid w:val="3B350E3B"/>
    <w:rsid w:val="3B510FCD"/>
    <w:rsid w:val="3B651FE2"/>
    <w:rsid w:val="3B6E533A"/>
    <w:rsid w:val="3B6F279B"/>
    <w:rsid w:val="3B822B94"/>
    <w:rsid w:val="3BAA5C47"/>
    <w:rsid w:val="3BB32D4D"/>
    <w:rsid w:val="3BC211E2"/>
    <w:rsid w:val="3BC27B59"/>
    <w:rsid w:val="3BC63EA0"/>
    <w:rsid w:val="3BF94E66"/>
    <w:rsid w:val="3BFF31A6"/>
    <w:rsid w:val="3C0544B3"/>
    <w:rsid w:val="3C2D6464"/>
    <w:rsid w:val="3C352BC1"/>
    <w:rsid w:val="3C5D50E1"/>
    <w:rsid w:val="3C667DC0"/>
    <w:rsid w:val="3C687483"/>
    <w:rsid w:val="3C6D114E"/>
    <w:rsid w:val="3C6D3FB2"/>
    <w:rsid w:val="3C905B44"/>
    <w:rsid w:val="3CA53AD7"/>
    <w:rsid w:val="3CA7345C"/>
    <w:rsid w:val="3CAE5253"/>
    <w:rsid w:val="3CB7686D"/>
    <w:rsid w:val="3CBD4F57"/>
    <w:rsid w:val="3CBF4A0D"/>
    <w:rsid w:val="3CC5259C"/>
    <w:rsid w:val="3CD41494"/>
    <w:rsid w:val="3CDA6788"/>
    <w:rsid w:val="3CF163D1"/>
    <w:rsid w:val="3CF17FD1"/>
    <w:rsid w:val="3CF74EBC"/>
    <w:rsid w:val="3CF873C3"/>
    <w:rsid w:val="3D192362"/>
    <w:rsid w:val="3D285F8D"/>
    <w:rsid w:val="3D28691A"/>
    <w:rsid w:val="3D2A42EE"/>
    <w:rsid w:val="3D3D7399"/>
    <w:rsid w:val="3D42082D"/>
    <w:rsid w:val="3D51281E"/>
    <w:rsid w:val="3D907B7B"/>
    <w:rsid w:val="3DB634D7"/>
    <w:rsid w:val="3DC37F97"/>
    <w:rsid w:val="3DD33B2E"/>
    <w:rsid w:val="3DDD0555"/>
    <w:rsid w:val="3DEB2C72"/>
    <w:rsid w:val="3DEE1991"/>
    <w:rsid w:val="3E277456"/>
    <w:rsid w:val="3E287A22"/>
    <w:rsid w:val="3E2E0DB1"/>
    <w:rsid w:val="3E3471A0"/>
    <w:rsid w:val="3E371A14"/>
    <w:rsid w:val="3E4A58E8"/>
    <w:rsid w:val="3E616310"/>
    <w:rsid w:val="3E641DA7"/>
    <w:rsid w:val="3E6A0ABD"/>
    <w:rsid w:val="3E703177"/>
    <w:rsid w:val="3E834C59"/>
    <w:rsid w:val="3E846635"/>
    <w:rsid w:val="3E8546E5"/>
    <w:rsid w:val="3EB93A55"/>
    <w:rsid w:val="3EBB0897"/>
    <w:rsid w:val="3ECD4126"/>
    <w:rsid w:val="3EDF3E59"/>
    <w:rsid w:val="3EEA3816"/>
    <w:rsid w:val="3EF45B57"/>
    <w:rsid w:val="3EFB6EE5"/>
    <w:rsid w:val="3EFD0F59"/>
    <w:rsid w:val="3F3A29A8"/>
    <w:rsid w:val="3F485251"/>
    <w:rsid w:val="3F497AA9"/>
    <w:rsid w:val="3F4A1648"/>
    <w:rsid w:val="3F4B2DEB"/>
    <w:rsid w:val="3F547A43"/>
    <w:rsid w:val="3F574AF1"/>
    <w:rsid w:val="3F7B6278"/>
    <w:rsid w:val="3F8513F7"/>
    <w:rsid w:val="3F9300EC"/>
    <w:rsid w:val="3F993190"/>
    <w:rsid w:val="3FA8007A"/>
    <w:rsid w:val="3FAA25B8"/>
    <w:rsid w:val="3FAE565D"/>
    <w:rsid w:val="3FBA0B4E"/>
    <w:rsid w:val="3FC47F75"/>
    <w:rsid w:val="3FC675AE"/>
    <w:rsid w:val="3FCF2EAE"/>
    <w:rsid w:val="3FDD2A8F"/>
    <w:rsid w:val="400C17EB"/>
    <w:rsid w:val="40347D13"/>
    <w:rsid w:val="403501D5"/>
    <w:rsid w:val="403807E3"/>
    <w:rsid w:val="40386F69"/>
    <w:rsid w:val="40494A65"/>
    <w:rsid w:val="4050500F"/>
    <w:rsid w:val="40512B35"/>
    <w:rsid w:val="405A774E"/>
    <w:rsid w:val="405C1A05"/>
    <w:rsid w:val="406716FB"/>
    <w:rsid w:val="40736FAC"/>
    <w:rsid w:val="40801089"/>
    <w:rsid w:val="40832CA1"/>
    <w:rsid w:val="409A38B0"/>
    <w:rsid w:val="40A47394"/>
    <w:rsid w:val="40DF3AC7"/>
    <w:rsid w:val="40F41D7B"/>
    <w:rsid w:val="41180544"/>
    <w:rsid w:val="411B6481"/>
    <w:rsid w:val="412532A9"/>
    <w:rsid w:val="41257C62"/>
    <w:rsid w:val="412C0EB1"/>
    <w:rsid w:val="413C056B"/>
    <w:rsid w:val="417B430D"/>
    <w:rsid w:val="41850CE8"/>
    <w:rsid w:val="4194198D"/>
    <w:rsid w:val="41961147"/>
    <w:rsid w:val="419672DF"/>
    <w:rsid w:val="419A7E82"/>
    <w:rsid w:val="419D0727"/>
    <w:rsid w:val="41AB7928"/>
    <w:rsid w:val="41BC6E35"/>
    <w:rsid w:val="41C20554"/>
    <w:rsid w:val="41CD6B43"/>
    <w:rsid w:val="41D61543"/>
    <w:rsid w:val="41E40EA6"/>
    <w:rsid w:val="41E53E7C"/>
    <w:rsid w:val="41EC753D"/>
    <w:rsid w:val="41F12821"/>
    <w:rsid w:val="41F61BE6"/>
    <w:rsid w:val="41FF3306"/>
    <w:rsid w:val="42011D4D"/>
    <w:rsid w:val="42070318"/>
    <w:rsid w:val="422A188F"/>
    <w:rsid w:val="4230318E"/>
    <w:rsid w:val="423327CD"/>
    <w:rsid w:val="4234324C"/>
    <w:rsid w:val="4236771B"/>
    <w:rsid w:val="42390455"/>
    <w:rsid w:val="4241698C"/>
    <w:rsid w:val="424B5D64"/>
    <w:rsid w:val="4252788F"/>
    <w:rsid w:val="425F63B0"/>
    <w:rsid w:val="428068BB"/>
    <w:rsid w:val="42815953"/>
    <w:rsid w:val="42894808"/>
    <w:rsid w:val="42A16A83"/>
    <w:rsid w:val="42BD2703"/>
    <w:rsid w:val="42C906AD"/>
    <w:rsid w:val="42CD2946"/>
    <w:rsid w:val="42D65539"/>
    <w:rsid w:val="42D670DF"/>
    <w:rsid w:val="42E265D8"/>
    <w:rsid w:val="42E46F09"/>
    <w:rsid w:val="430C6805"/>
    <w:rsid w:val="4311488B"/>
    <w:rsid w:val="431762B8"/>
    <w:rsid w:val="432E715D"/>
    <w:rsid w:val="43326FC9"/>
    <w:rsid w:val="433A027C"/>
    <w:rsid w:val="434F5A51"/>
    <w:rsid w:val="43707776"/>
    <w:rsid w:val="4380199C"/>
    <w:rsid w:val="43900720"/>
    <w:rsid w:val="439F33FF"/>
    <w:rsid w:val="43A4673C"/>
    <w:rsid w:val="43BD07B4"/>
    <w:rsid w:val="43C36F36"/>
    <w:rsid w:val="43D90D4D"/>
    <w:rsid w:val="43DF3DCC"/>
    <w:rsid w:val="43E20CC2"/>
    <w:rsid w:val="43E2477D"/>
    <w:rsid w:val="43EC14F2"/>
    <w:rsid w:val="44143BB2"/>
    <w:rsid w:val="44177788"/>
    <w:rsid w:val="4429367B"/>
    <w:rsid w:val="442A7828"/>
    <w:rsid w:val="443C4228"/>
    <w:rsid w:val="44407D6F"/>
    <w:rsid w:val="445D3056"/>
    <w:rsid w:val="44753296"/>
    <w:rsid w:val="447B1F1F"/>
    <w:rsid w:val="4484172B"/>
    <w:rsid w:val="448547E4"/>
    <w:rsid w:val="44937CE8"/>
    <w:rsid w:val="44A36F5A"/>
    <w:rsid w:val="44A85102"/>
    <w:rsid w:val="44AC7A56"/>
    <w:rsid w:val="44BD58F0"/>
    <w:rsid w:val="44BD712B"/>
    <w:rsid w:val="44CF7A97"/>
    <w:rsid w:val="44D36AF5"/>
    <w:rsid w:val="45101210"/>
    <w:rsid w:val="451F59CC"/>
    <w:rsid w:val="453273D9"/>
    <w:rsid w:val="454F7F8B"/>
    <w:rsid w:val="455C4456"/>
    <w:rsid w:val="456B16A9"/>
    <w:rsid w:val="457572C5"/>
    <w:rsid w:val="45774DEB"/>
    <w:rsid w:val="458A62C6"/>
    <w:rsid w:val="458F3E4A"/>
    <w:rsid w:val="45B63B66"/>
    <w:rsid w:val="45EF55EE"/>
    <w:rsid w:val="45FA5767"/>
    <w:rsid w:val="46084651"/>
    <w:rsid w:val="46160AEE"/>
    <w:rsid w:val="46566290"/>
    <w:rsid w:val="465A6BF7"/>
    <w:rsid w:val="4665558C"/>
    <w:rsid w:val="466A3337"/>
    <w:rsid w:val="46715CDF"/>
    <w:rsid w:val="468B35FF"/>
    <w:rsid w:val="468F7BE3"/>
    <w:rsid w:val="469D7388"/>
    <w:rsid w:val="46AE1062"/>
    <w:rsid w:val="46BD7C57"/>
    <w:rsid w:val="46C427EE"/>
    <w:rsid w:val="46C60186"/>
    <w:rsid w:val="46E02D12"/>
    <w:rsid w:val="46E841F3"/>
    <w:rsid w:val="47012609"/>
    <w:rsid w:val="47017C1E"/>
    <w:rsid w:val="47034A8D"/>
    <w:rsid w:val="47037631"/>
    <w:rsid w:val="472F5EEB"/>
    <w:rsid w:val="473471DC"/>
    <w:rsid w:val="473E47A4"/>
    <w:rsid w:val="47405BC8"/>
    <w:rsid w:val="47541888"/>
    <w:rsid w:val="47767A51"/>
    <w:rsid w:val="477D78D2"/>
    <w:rsid w:val="477E4B57"/>
    <w:rsid w:val="479F1CF3"/>
    <w:rsid w:val="47A125F4"/>
    <w:rsid w:val="47C8523C"/>
    <w:rsid w:val="47D324C5"/>
    <w:rsid w:val="47DC13C2"/>
    <w:rsid w:val="47DF0138"/>
    <w:rsid w:val="47E36768"/>
    <w:rsid w:val="48052B82"/>
    <w:rsid w:val="480964CC"/>
    <w:rsid w:val="481B4154"/>
    <w:rsid w:val="481D7ECC"/>
    <w:rsid w:val="48384704"/>
    <w:rsid w:val="48390A7E"/>
    <w:rsid w:val="4881611D"/>
    <w:rsid w:val="488C601B"/>
    <w:rsid w:val="48BC5937"/>
    <w:rsid w:val="48D11FBB"/>
    <w:rsid w:val="48D43C2F"/>
    <w:rsid w:val="48D64F89"/>
    <w:rsid w:val="48D83AB5"/>
    <w:rsid w:val="48DA7B6B"/>
    <w:rsid w:val="48EC47BE"/>
    <w:rsid w:val="48ED1D4F"/>
    <w:rsid w:val="48F42B09"/>
    <w:rsid w:val="48FC2EC8"/>
    <w:rsid w:val="48FD1AAC"/>
    <w:rsid w:val="490F086C"/>
    <w:rsid w:val="49242B4F"/>
    <w:rsid w:val="49284D7B"/>
    <w:rsid w:val="492F19EC"/>
    <w:rsid w:val="49312BD1"/>
    <w:rsid w:val="493337BF"/>
    <w:rsid w:val="493C0826"/>
    <w:rsid w:val="495D254A"/>
    <w:rsid w:val="496345E5"/>
    <w:rsid w:val="496B5B85"/>
    <w:rsid w:val="4977185E"/>
    <w:rsid w:val="497C50C6"/>
    <w:rsid w:val="49811327"/>
    <w:rsid w:val="49982927"/>
    <w:rsid w:val="49995A8B"/>
    <w:rsid w:val="499A1970"/>
    <w:rsid w:val="499C3073"/>
    <w:rsid w:val="499F0DB5"/>
    <w:rsid w:val="49A62736"/>
    <w:rsid w:val="49AB1508"/>
    <w:rsid w:val="49B4660E"/>
    <w:rsid w:val="49B900C8"/>
    <w:rsid w:val="49C64593"/>
    <w:rsid w:val="49E11E24"/>
    <w:rsid w:val="49F52385"/>
    <w:rsid w:val="4A0751ED"/>
    <w:rsid w:val="4A1C6736"/>
    <w:rsid w:val="4A1E3E10"/>
    <w:rsid w:val="4A35453B"/>
    <w:rsid w:val="4A566289"/>
    <w:rsid w:val="4A590F64"/>
    <w:rsid w:val="4A6718D3"/>
    <w:rsid w:val="4A76676A"/>
    <w:rsid w:val="4A8204BA"/>
    <w:rsid w:val="4A881849"/>
    <w:rsid w:val="4A8C219C"/>
    <w:rsid w:val="4A8D1B60"/>
    <w:rsid w:val="4A9106FD"/>
    <w:rsid w:val="4A91694F"/>
    <w:rsid w:val="4A9621B8"/>
    <w:rsid w:val="4A990955"/>
    <w:rsid w:val="4AA81D17"/>
    <w:rsid w:val="4AAC30BF"/>
    <w:rsid w:val="4AB31EFD"/>
    <w:rsid w:val="4AB663B6"/>
    <w:rsid w:val="4ABB1C1E"/>
    <w:rsid w:val="4ACE6386"/>
    <w:rsid w:val="4ADB7BCB"/>
    <w:rsid w:val="4AF0100E"/>
    <w:rsid w:val="4AF56EDE"/>
    <w:rsid w:val="4AFF1B0B"/>
    <w:rsid w:val="4B370170"/>
    <w:rsid w:val="4B3814C1"/>
    <w:rsid w:val="4B616322"/>
    <w:rsid w:val="4B795D09"/>
    <w:rsid w:val="4B8E165E"/>
    <w:rsid w:val="4BC32B39"/>
    <w:rsid w:val="4BDA1471"/>
    <w:rsid w:val="4C0628D5"/>
    <w:rsid w:val="4C151E7C"/>
    <w:rsid w:val="4C1735B7"/>
    <w:rsid w:val="4C1C5402"/>
    <w:rsid w:val="4C211F55"/>
    <w:rsid w:val="4C2F328C"/>
    <w:rsid w:val="4C5145E8"/>
    <w:rsid w:val="4C693E72"/>
    <w:rsid w:val="4C732437"/>
    <w:rsid w:val="4C84005E"/>
    <w:rsid w:val="4C981D67"/>
    <w:rsid w:val="4C982217"/>
    <w:rsid w:val="4CB2278A"/>
    <w:rsid w:val="4CCB3E82"/>
    <w:rsid w:val="4CCF19B1"/>
    <w:rsid w:val="4CD80866"/>
    <w:rsid w:val="4CFA35AA"/>
    <w:rsid w:val="4CFE326D"/>
    <w:rsid w:val="4D0F1DAD"/>
    <w:rsid w:val="4D1D44CA"/>
    <w:rsid w:val="4D1F0243"/>
    <w:rsid w:val="4D221AE1"/>
    <w:rsid w:val="4D2A2774"/>
    <w:rsid w:val="4D3429D9"/>
    <w:rsid w:val="4D3A1520"/>
    <w:rsid w:val="4D436254"/>
    <w:rsid w:val="4D602609"/>
    <w:rsid w:val="4D6A60D9"/>
    <w:rsid w:val="4D6D5452"/>
    <w:rsid w:val="4D721834"/>
    <w:rsid w:val="4D7367E0"/>
    <w:rsid w:val="4D7C38E7"/>
    <w:rsid w:val="4D87403A"/>
    <w:rsid w:val="4D8F348F"/>
    <w:rsid w:val="4DA846DC"/>
    <w:rsid w:val="4DC13C49"/>
    <w:rsid w:val="4DD76D6F"/>
    <w:rsid w:val="4DE71CFE"/>
    <w:rsid w:val="4E005888"/>
    <w:rsid w:val="4E086F29"/>
    <w:rsid w:val="4E0C6330"/>
    <w:rsid w:val="4E1E6DAE"/>
    <w:rsid w:val="4E4F113A"/>
    <w:rsid w:val="4E5B174E"/>
    <w:rsid w:val="4E7B5D66"/>
    <w:rsid w:val="4E8636F5"/>
    <w:rsid w:val="4E8A2033"/>
    <w:rsid w:val="4E8D5680"/>
    <w:rsid w:val="4E9632A5"/>
    <w:rsid w:val="4EA604F0"/>
    <w:rsid w:val="4EB2616A"/>
    <w:rsid w:val="4EC405B7"/>
    <w:rsid w:val="4ED07B6B"/>
    <w:rsid w:val="4ED207A4"/>
    <w:rsid w:val="4EE00F30"/>
    <w:rsid w:val="4EE259CC"/>
    <w:rsid w:val="4EE73145"/>
    <w:rsid w:val="4EF20883"/>
    <w:rsid w:val="4F0520BB"/>
    <w:rsid w:val="4F0A0A7E"/>
    <w:rsid w:val="4F0C0CBD"/>
    <w:rsid w:val="4F1B03A1"/>
    <w:rsid w:val="4F244DC9"/>
    <w:rsid w:val="4F2D00A8"/>
    <w:rsid w:val="4F410E4F"/>
    <w:rsid w:val="4F5405C8"/>
    <w:rsid w:val="4F644FC1"/>
    <w:rsid w:val="4F674123"/>
    <w:rsid w:val="4F727FD6"/>
    <w:rsid w:val="4F7800DE"/>
    <w:rsid w:val="4F860A4D"/>
    <w:rsid w:val="4FA640A1"/>
    <w:rsid w:val="4FA709C3"/>
    <w:rsid w:val="4FAE4DE6"/>
    <w:rsid w:val="4FBD1F95"/>
    <w:rsid w:val="4FC839E5"/>
    <w:rsid w:val="4FCD532D"/>
    <w:rsid w:val="4FDA66A3"/>
    <w:rsid w:val="4FE13ED5"/>
    <w:rsid w:val="4FE67ECE"/>
    <w:rsid w:val="4FF534DD"/>
    <w:rsid w:val="4FFA7976"/>
    <w:rsid w:val="5023629C"/>
    <w:rsid w:val="5025051C"/>
    <w:rsid w:val="502D50C3"/>
    <w:rsid w:val="50463208"/>
    <w:rsid w:val="504727E5"/>
    <w:rsid w:val="505669E5"/>
    <w:rsid w:val="505F0C4F"/>
    <w:rsid w:val="507D1F30"/>
    <w:rsid w:val="508D1878"/>
    <w:rsid w:val="50B54678"/>
    <w:rsid w:val="50CC1C98"/>
    <w:rsid w:val="50CC6933"/>
    <w:rsid w:val="50D9593D"/>
    <w:rsid w:val="50E91FE9"/>
    <w:rsid w:val="50EE68AA"/>
    <w:rsid w:val="50F80D05"/>
    <w:rsid w:val="50FE442D"/>
    <w:rsid w:val="51183927"/>
    <w:rsid w:val="513419B6"/>
    <w:rsid w:val="513B46C2"/>
    <w:rsid w:val="513F5357"/>
    <w:rsid w:val="515371B0"/>
    <w:rsid w:val="515E76C4"/>
    <w:rsid w:val="516C3C72"/>
    <w:rsid w:val="5176064D"/>
    <w:rsid w:val="518D0340"/>
    <w:rsid w:val="518D5E50"/>
    <w:rsid w:val="519B00B4"/>
    <w:rsid w:val="51A2385E"/>
    <w:rsid w:val="51A35FF0"/>
    <w:rsid w:val="51AC22C1"/>
    <w:rsid w:val="51AC3166"/>
    <w:rsid w:val="51B178D7"/>
    <w:rsid w:val="51C61046"/>
    <w:rsid w:val="51D6733E"/>
    <w:rsid w:val="51EA65FC"/>
    <w:rsid w:val="51EF0129"/>
    <w:rsid w:val="51F0233E"/>
    <w:rsid w:val="51FD48CA"/>
    <w:rsid w:val="521014D0"/>
    <w:rsid w:val="521A053F"/>
    <w:rsid w:val="52206009"/>
    <w:rsid w:val="523A78CD"/>
    <w:rsid w:val="523D116B"/>
    <w:rsid w:val="52473234"/>
    <w:rsid w:val="524A3FB4"/>
    <w:rsid w:val="524B2A87"/>
    <w:rsid w:val="52566047"/>
    <w:rsid w:val="52625666"/>
    <w:rsid w:val="52654031"/>
    <w:rsid w:val="52654324"/>
    <w:rsid w:val="528720B0"/>
    <w:rsid w:val="52904DEF"/>
    <w:rsid w:val="52A1794C"/>
    <w:rsid w:val="52A20919"/>
    <w:rsid w:val="52B71931"/>
    <w:rsid w:val="52B80566"/>
    <w:rsid w:val="52C90A90"/>
    <w:rsid w:val="52CA6EA2"/>
    <w:rsid w:val="52DD6B63"/>
    <w:rsid w:val="52E02961"/>
    <w:rsid w:val="52EA12F3"/>
    <w:rsid w:val="52EB1884"/>
    <w:rsid w:val="52ED354F"/>
    <w:rsid w:val="52F5016A"/>
    <w:rsid w:val="52FD2A61"/>
    <w:rsid w:val="52FF257B"/>
    <w:rsid w:val="5305542D"/>
    <w:rsid w:val="53057EDB"/>
    <w:rsid w:val="53081779"/>
    <w:rsid w:val="5319652A"/>
    <w:rsid w:val="533407C0"/>
    <w:rsid w:val="53484D7B"/>
    <w:rsid w:val="53523B59"/>
    <w:rsid w:val="535D773F"/>
    <w:rsid w:val="535E6C06"/>
    <w:rsid w:val="537E0802"/>
    <w:rsid w:val="53834631"/>
    <w:rsid w:val="539402CD"/>
    <w:rsid w:val="53A019B1"/>
    <w:rsid w:val="53BF0089"/>
    <w:rsid w:val="53C02393"/>
    <w:rsid w:val="53C953AC"/>
    <w:rsid w:val="53CC27A6"/>
    <w:rsid w:val="53E915AA"/>
    <w:rsid w:val="53EF5893"/>
    <w:rsid w:val="53FD6E04"/>
    <w:rsid w:val="540562BF"/>
    <w:rsid w:val="5421565F"/>
    <w:rsid w:val="54244390"/>
    <w:rsid w:val="543076FC"/>
    <w:rsid w:val="54316D95"/>
    <w:rsid w:val="54324CFF"/>
    <w:rsid w:val="54352A41"/>
    <w:rsid w:val="54705828"/>
    <w:rsid w:val="54B25979"/>
    <w:rsid w:val="54BC0A6D"/>
    <w:rsid w:val="54D04FFE"/>
    <w:rsid w:val="550F2EEB"/>
    <w:rsid w:val="55191A1B"/>
    <w:rsid w:val="551C775D"/>
    <w:rsid w:val="5527238A"/>
    <w:rsid w:val="555E1B24"/>
    <w:rsid w:val="55621614"/>
    <w:rsid w:val="558B2B1A"/>
    <w:rsid w:val="55A07572"/>
    <w:rsid w:val="55AF50EE"/>
    <w:rsid w:val="55B51BB5"/>
    <w:rsid w:val="55DC2AD0"/>
    <w:rsid w:val="56334D5F"/>
    <w:rsid w:val="56362DB6"/>
    <w:rsid w:val="563840FA"/>
    <w:rsid w:val="563C6D07"/>
    <w:rsid w:val="5644089D"/>
    <w:rsid w:val="56476712"/>
    <w:rsid w:val="565A71E1"/>
    <w:rsid w:val="565E7B16"/>
    <w:rsid w:val="565F7902"/>
    <w:rsid w:val="567A7228"/>
    <w:rsid w:val="5682100C"/>
    <w:rsid w:val="569752EE"/>
    <w:rsid w:val="56A70089"/>
    <w:rsid w:val="56A75CA9"/>
    <w:rsid w:val="56B22952"/>
    <w:rsid w:val="56D138EB"/>
    <w:rsid w:val="56D55E16"/>
    <w:rsid w:val="56D73C32"/>
    <w:rsid w:val="56F12C81"/>
    <w:rsid w:val="56FC5120"/>
    <w:rsid w:val="57010C33"/>
    <w:rsid w:val="570A5ABF"/>
    <w:rsid w:val="57394A75"/>
    <w:rsid w:val="573E7698"/>
    <w:rsid w:val="57465EFE"/>
    <w:rsid w:val="57536D7E"/>
    <w:rsid w:val="57584D64"/>
    <w:rsid w:val="575925A3"/>
    <w:rsid w:val="577011F8"/>
    <w:rsid w:val="578251E4"/>
    <w:rsid w:val="57835872"/>
    <w:rsid w:val="579569BD"/>
    <w:rsid w:val="57A1091C"/>
    <w:rsid w:val="57A937C2"/>
    <w:rsid w:val="57B63E99"/>
    <w:rsid w:val="57BD259B"/>
    <w:rsid w:val="57E207EA"/>
    <w:rsid w:val="57FF2F9B"/>
    <w:rsid w:val="58022C3B"/>
    <w:rsid w:val="580813C9"/>
    <w:rsid w:val="58090866"/>
    <w:rsid w:val="5812328C"/>
    <w:rsid w:val="58134E48"/>
    <w:rsid w:val="58353010"/>
    <w:rsid w:val="583920CB"/>
    <w:rsid w:val="585F008D"/>
    <w:rsid w:val="586B7F47"/>
    <w:rsid w:val="586E207E"/>
    <w:rsid w:val="587F428B"/>
    <w:rsid w:val="588124DC"/>
    <w:rsid w:val="58823D7B"/>
    <w:rsid w:val="58965ED7"/>
    <w:rsid w:val="58A81A34"/>
    <w:rsid w:val="58AA3F8D"/>
    <w:rsid w:val="58B73A25"/>
    <w:rsid w:val="58C01D74"/>
    <w:rsid w:val="58D173B3"/>
    <w:rsid w:val="58D3457F"/>
    <w:rsid w:val="58DE7B7E"/>
    <w:rsid w:val="58EE6F68"/>
    <w:rsid w:val="58EF1AD1"/>
    <w:rsid w:val="58F05189"/>
    <w:rsid w:val="58FE1654"/>
    <w:rsid w:val="58FF3C4F"/>
    <w:rsid w:val="59101387"/>
    <w:rsid w:val="591C5F7E"/>
    <w:rsid w:val="592A1776"/>
    <w:rsid w:val="59470419"/>
    <w:rsid w:val="594D183A"/>
    <w:rsid w:val="595C2442"/>
    <w:rsid w:val="59613C95"/>
    <w:rsid w:val="59626C1D"/>
    <w:rsid w:val="59632FD1"/>
    <w:rsid w:val="596361E3"/>
    <w:rsid w:val="598E1040"/>
    <w:rsid w:val="59A32875"/>
    <w:rsid w:val="59BF29E6"/>
    <w:rsid w:val="59D16D68"/>
    <w:rsid w:val="59E85E60"/>
    <w:rsid w:val="59FD5DAF"/>
    <w:rsid w:val="59FF6690"/>
    <w:rsid w:val="5A054C64"/>
    <w:rsid w:val="5A074538"/>
    <w:rsid w:val="5A130307"/>
    <w:rsid w:val="5A1C50E2"/>
    <w:rsid w:val="5A307F33"/>
    <w:rsid w:val="5A3B4B4C"/>
    <w:rsid w:val="5A3E57D4"/>
    <w:rsid w:val="5A6710A2"/>
    <w:rsid w:val="5A82015F"/>
    <w:rsid w:val="5A877BF1"/>
    <w:rsid w:val="5A9A53AC"/>
    <w:rsid w:val="5A9C30A7"/>
    <w:rsid w:val="5AA955EF"/>
    <w:rsid w:val="5AB126F6"/>
    <w:rsid w:val="5AB26B9A"/>
    <w:rsid w:val="5AC24903"/>
    <w:rsid w:val="5AC661A1"/>
    <w:rsid w:val="5AC71F19"/>
    <w:rsid w:val="5AE44331"/>
    <w:rsid w:val="5B0F5D9A"/>
    <w:rsid w:val="5B143445"/>
    <w:rsid w:val="5B2B06FA"/>
    <w:rsid w:val="5B361196"/>
    <w:rsid w:val="5B3635BA"/>
    <w:rsid w:val="5B6A2FD1"/>
    <w:rsid w:val="5B8F7F10"/>
    <w:rsid w:val="5BD448EE"/>
    <w:rsid w:val="5BE017FA"/>
    <w:rsid w:val="5BE251E0"/>
    <w:rsid w:val="5BE508A9"/>
    <w:rsid w:val="5BE948DC"/>
    <w:rsid w:val="5BF1297E"/>
    <w:rsid w:val="5BFB00CD"/>
    <w:rsid w:val="5C0276AD"/>
    <w:rsid w:val="5C1B5941"/>
    <w:rsid w:val="5C221AFD"/>
    <w:rsid w:val="5C516C30"/>
    <w:rsid w:val="5C570BBA"/>
    <w:rsid w:val="5C63762E"/>
    <w:rsid w:val="5C6C6530"/>
    <w:rsid w:val="5C6F3E31"/>
    <w:rsid w:val="5C735EB5"/>
    <w:rsid w:val="5C7B2FBB"/>
    <w:rsid w:val="5CA67C9A"/>
    <w:rsid w:val="5CA800DD"/>
    <w:rsid w:val="5CA8147B"/>
    <w:rsid w:val="5CB965E7"/>
    <w:rsid w:val="5CC901CB"/>
    <w:rsid w:val="5CDB5A4F"/>
    <w:rsid w:val="5CDE4F9C"/>
    <w:rsid w:val="5CE2128D"/>
    <w:rsid w:val="5CE861E2"/>
    <w:rsid w:val="5CFF599B"/>
    <w:rsid w:val="5D0542DC"/>
    <w:rsid w:val="5D080CF3"/>
    <w:rsid w:val="5D09418D"/>
    <w:rsid w:val="5D0F1BD2"/>
    <w:rsid w:val="5D1458EA"/>
    <w:rsid w:val="5D173211"/>
    <w:rsid w:val="5D2F6ACB"/>
    <w:rsid w:val="5D327B1E"/>
    <w:rsid w:val="5D494E68"/>
    <w:rsid w:val="5D5410DD"/>
    <w:rsid w:val="5D667D88"/>
    <w:rsid w:val="5D74619D"/>
    <w:rsid w:val="5D774B73"/>
    <w:rsid w:val="5D7A666A"/>
    <w:rsid w:val="5D7F0889"/>
    <w:rsid w:val="5D881E34"/>
    <w:rsid w:val="5D902BE3"/>
    <w:rsid w:val="5D9678BC"/>
    <w:rsid w:val="5D9E3405"/>
    <w:rsid w:val="5DA45F90"/>
    <w:rsid w:val="5DA51DF9"/>
    <w:rsid w:val="5DA54957"/>
    <w:rsid w:val="5DA97E4D"/>
    <w:rsid w:val="5DB209FB"/>
    <w:rsid w:val="5DC00F73"/>
    <w:rsid w:val="5DD60C8C"/>
    <w:rsid w:val="5DEE7F91"/>
    <w:rsid w:val="5DF53B4E"/>
    <w:rsid w:val="5E083735"/>
    <w:rsid w:val="5E0967FA"/>
    <w:rsid w:val="5E0C65C1"/>
    <w:rsid w:val="5E2A4068"/>
    <w:rsid w:val="5E2E564F"/>
    <w:rsid w:val="5E3C0DFF"/>
    <w:rsid w:val="5E634175"/>
    <w:rsid w:val="5E7128C8"/>
    <w:rsid w:val="5E7D74BF"/>
    <w:rsid w:val="5E86079D"/>
    <w:rsid w:val="5E897C12"/>
    <w:rsid w:val="5E9B1871"/>
    <w:rsid w:val="5E9F7435"/>
    <w:rsid w:val="5EB36A3D"/>
    <w:rsid w:val="5EC02DB9"/>
    <w:rsid w:val="5EF568DD"/>
    <w:rsid w:val="5F117C07"/>
    <w:rsid w:val="5F2B044C"/>
    <w:rsid w:val="5F2B789F"/>
    <w:rsid w:val="5F4516D7"/>
    <w:rsid w:val="5F6441DB"/>
    <w:rsid w:val="5F686473"/>
    <w:rsid w:val="5F7563E8"/>
    <w:rsid w:val="5F920D48"/>
    <w:rsid w:val="5FA15B20"/>
    <w:rsid w:val="5FB143B2"/>
    <w:rsid w:val="5FCA7895"/>
    <w:rsid w:val="5FE150A2"/>
    <w:rsid w:val="5FEE130D"/>
    <w:rsid w:val="5FF4555F"/>
    <w:rsid w:val="5FF72267"/>
    <w:rsid w:val="600A6B30"/>
    <w:rsid w:val="602939A7"/>
    <w:rsid w:val="603718EF"/>
    <w:rsid w:val="603D15E5"/>
    <w:rsid w:val="60586C19"/>
    <w:rsid w:val="605F71DF"/>
    <w:rsid w:val="607D4C98"/>
    <w:rsid w:val="608179A6"/>
    <w:rsid w:val="608A05A0"/>
    <w:rsid w:val="609B00D0"/>
    <w:rsid w:val="60B66ADC"/>
    <w:rsid w:val="60BA368F"/>
    <w:rsid w:val="60BB0A7A"/>
    <w:rsid w:val="60C212E4"/>
    <w:rsid w:val="60CD3538"/>
    <w:rsid w:val="60D32B32"/>
    <w:rsid w:val="60E76E71"/>
    <w:rsid w:val="61074FB0"/>
    <w:rsid w:val="612F542F"/>
    <w:rsid w:val="613F280A"/>
    <w:rsid w:val="614632BC"/>
    <w:rsid w:val="61767D47"/>
    <w:rsid w:val="6189763D"/>
    <w:rsid w:val="618A6F16"/>
    <w:rsid w:val="61903065"/>
    <w:rsid w:val="619830D1"/>
    <w:rsid w:val="619A2136"/>
    <w:rsid w:val="61A22D98"/>
    <w:rsid w:val="61B44215"/>
    <w:rsid w:val="61B762BB"/>
    <w:rsid w:val="61BF289B"/>
    <w:rsid w:val="61F5736C"/>
    <w:rsid w:val="62017F98"/>
    <w:rsid w:val="620C458A"/>
    <w:rsid w:val="62161204"/>
    <w:rsid w:val="62195C1C"/>
    <w:rsid w:val="621F5C9F"/>
    <w:rsid w:val="62357B32"/>
    <w:rsid w:val="62377985"/>
    <w:rsid w:val="623954AB"/>
    <w:rsid w:val="624014A4"/>
    <w:rsid w:val="624B3AF6"/>
    <w:rsid w:val="624B7414"/>
    <w:rsid w:val="624D5219"/>
    <w:rsid w:val="62507972"/>
    <w:rsid w:val="62604767"/>
    <w:rsid w:val="626A7D5A"/>
    <w:rsid w:val="6271733B"/>
    <w:rsid w:val="629A17B6"/>
    <w:rsid w:val="629F03B4"/>
    <w:rsid w:val="62A528E0"/>
    <w:rsid w:val="62AF1C11"/>
    <w:rsid w:val="62D0377D"/>
    <w:rsid w:val="62D57B32"/>
    <w:rsid w:val="62E573E1"/>
    <w:rsid w:val="62EE098B"/>
    <w:rsid w:val="62F67840"/>
    <w:rsid w:val="62F81A2F"/>
    <w:rsid w:val="63174F69"/>
    <w:rsid w:val="633270A5"/>
    <w:rsid w:val="63371119"/>
    <w:rsid w:val="633F4D43"/>
    <w:rsid w:val="63624ED5"/>
    <w:rsid w:val="63737A6A"/>
    <w:rsid w:val="63872EA1"/>
    <w:rsid w:val="638B442C"/>
    <w:rsid w:val="638C5AAE"/>
    <w:rsid w:val="63B55CD4"/>
    <w:rsid w:val="63B62E4B"/>
    <w:rsid w:val="63C60C88"/>
    <w:rsid w:val="63C872E4"/>
    <w:rsid w:val="63CC6A4F"/>
    <w:rsid w:val="63E255E0"/>
    <w:rsid w:val="63ED29F1"/>
    <w:rsid w:val="63F1024E"/>
    <w:rsid w:val="6424218B"/>
    <w:rsid w:val="643841E7"/>
    <w:rsid w:val="64467038"/>
    <w:rsid w:val="645273BE"/>
    <w:rsid w:val="645F61AB"/>
    <w:rsid w:val="6461518D"/>
    <w:rsid w:val="64916774"/>
    <w:rsid w:val="6495350B"/>
    <w:rsid w:val="64AF7CA6"/>
    <w:rsid w:val="64DD062F"/>
    <w:rsid w:val="64E24944"/>
    <w:rsid w:val="64F25DE5"/>
    <w:rsid w:val="64F87BAD"/>
    <w:rsid w:val="65063C89"/>
    <w:rsid w:val="652A31DB"/>
    <w:rsid w:val="65300E21"/>
    <w:rsid w:val="65391D83"/>
    <w:rsid w:val="655D74FA"/>
    <w:rsid w:val="65705687"/>
    <w:rsid w:val="658C6239"/>
    <w:rsid w:val="659410CD"/>
    <w:rsid w:val="659D343E"/>
    <w:rsid w:val="65A34C94"/>
    <w:rsid w:val="65B36CF4"/>
    <w:rsid w:val="65C276DD"/>
    <w:rsid w:val="65C8693C"/>
    <w:rsid w:val="65CB1095"/>
    <w:rsid w:val="65F00369"/>
    <w:rsid w:val="65F8633E"/>
    <w:rsid w:val="65FA4D9C"/>
    <w:rsid w:val="660118F3"/>
    <w:rsid w:val="66042B5B"/>
    <w:rsid w:val="66050FA4"/>
    <w:rsid w:val="660B63D5"/>
    <w:rsid w:val="661B7593"/>
    <w:rsid w:val="66464BBD"/>
    <w:rsid w:val="665F74AA"/>
    <w:rsid w:val="66633B59"/>
    <w:rsid w:val="66652D12"/>
    <w:rsid w:val="6675128B"/>
    <w:rsid w:val="668F6144"/>
    <w:rsid w:val="66A26B3B"/>
    <w:rsid w:val="66B141AA"/>
    <w:rsid w:val="66C64D00"/>
    <w:rsid w:val="66DE2AC5"/>
    <w:rsid w:val="66EC4EAC"/>
    <w:rsid w:val="66EF5A3A"/>
    <w:rsid w:val="66FB3677"/>
    <w:rsid w:val="670B0D3C"/>
    <w:rsid w:val="6712276E"/>
    <w:rsid w:val="67274133"/>
    <w:rsid w:val="67297E2B"/>
    <w:rsid w:val="672A718A"/>
    <w:rsid w:val="67380427"/>
    <w:rsid w:val="673B3A73"/>
    <w:rsid w:val="67530DBD"/>
    <w:rsid w:val="676B54B2"/>
    <w:rsid w:val="67732BC2"/>
    <w:rsid w:val="677F0979"/>
    <w:rsid w:val="67813B5D"/>
    <w:rsid w:val="678C0773"/>
    <w:rsid w:val="67AE2497"/>
    <w:rsid w:val="67B25BC5"/>
    <w:rsid w:val="67E1286C"/>
    <w:rsid w:val="67E47654"/>
    <w:rsid w:val="67EB5499"/>
    <w:rsid w:val="67F91EFD"/>
    <w:rsid w:val="68087226"/>
    <w:rsid w:val="680C6130"/>
    <w:rsid w:val="681A79B2"/>
    <w:rsid w:val="681B5AD6"/>
    <w:rsid w:val="6828049B"/>
    <w:rsid w:val="682902C8"/>
    <w:rsid w:val="682B6455"/>
    <w:rsid w:val="684E4301"/>
    <w:rsid w:val="686178A3"/>
    <w:rsid w:val="686343FD"/>
    <w:rsid w:val="6864524C"/>
    <w:rsid w:val="68660FC4"/>
    <w:rsid w:val="68713613"/>
    <w:rsid w:val="687A48B0"/>
    <w:rsid w:val="68822739"/>
    <w:rsid w:val="688B43A3"/>
    <w:rsid w:val="68A9069F"/>
    <w:rsid w:val="68AF4719"/>
    <w:rsid w:val="68BF748B"/>
    <w:rsid w:val="68CF6B69"/>
    <w:rsid w:val="68D67EF7"/>
    <w:rsid w:val="68D93544"/>
    <w:rsid w:val="68EA3E01"/>
    <w:rsid w:val="68F5253C"/>
    <w:rsid w:val="68FF4E51"/>
    <w:rsid w:val="69036813"/>
    <w:rsid w:val="691D26B6"/>
    <w:rsid w:val="693D4BC9"/>
    <w:rsid w:val="69503AB2"/>
    <w:rsid w:val="695E755A"/>
    <w:rsid w:val="69931944"/>
    <w:rsid w:val="69960B36"/>
    <w:rsid w:val="69992CD3"/>
    <w:rsid w:val="69A4377A"/>
    <w:rsid w:val="69A519D1"/>
    <w:rsid w:val="69AC2A06"/>
    <w:rsid w:val="69B660D6"/>
    <w:rsid w:val="69BC2255"/>
    <w:rsid w:val="69C657C5"/>
    <w:rsid w:val="69CB6BDB"/>
    <w:rsid w:val="69CB7DEE"/>
    <w:rsid w:val="69CD59C5"/>
    <w:rsid w:val="69CF1357"/>
    <w:rsid w:val="69D7035E"/>
    <w:rsid w:val="69D72179"/>
    <w:rsid w:val="69E14DA6"/>
    <w:rsid w:val="69E15F15"/>
    <w:rsid w:val="69ED5E0E"/>
    <w:rsid w:val="6A0665BA"/>
    <w:rsid w:val="6A0942FC"/>
    <w:rsid w:val="6A0C1A9B"/>
    <w:rsid w:val="6A1A0E4B"/>
    <w:rsid w:val="6A2133F4"/>
    <w:rsid w:val="6A2735DF"/>
    <w:rsid w:val="6A42336B"/>
    <w:rsid w:val="6A425119"/>
    <w:rsid w:val="6A6176B0"/>
    <w:rsid w:val="6A6B6064"/>
    <w:rsid w:val="6A9213EC"/>
    <w:rsid w:val="6A95793E"/>
    <w:rsid w:val="6A9D5806"/>
    <w:rsid w:val="6A9E73DA"/>
    <w:rsid w:val="6AC7133F"/>
    <w:rsid w:val="6ACE4BFE"/>
    <w:rsid w:val="6AD7153D"/>
    <w:rsid w:val="6ADE3B27"/>
    <w:rsid w:val="6ADF190C"/>
    <w:rsid w:val="6AE746B0"/>
    <w:rsid w:val="6AE85CC0"/>
    <w:rsid w:val="6AF07638"/>
    <w:rsid w:val="6AFB1E97"/>
    <w:rsid w:val="6AFD195B"/>
    <w:rsid w:val="6B0B7C00"/>
    <w:rsid w:val="6B1765A5"/>
    <w:rsid w:val="6B1C3BBC"/>
    <w:rsid w:val="6B244D74"/>
    <w:rsid w:val="6B36596E"/>
    <w:rsid w:val="6B4D0219"/>
    <w:rsid w:val="6B53115F"/>
    <w:rsid w:val="6B541C84"/>
    <w:rsid w:val="6B902452"/>
    <w:rsid w:val="6BA8544F"/>
    <w:rsid w:val="6BAA3085"/>
    <w:rsid w:val="6BB838E4"/>
    <w:rsid w:val="6BB96074"/>
    <w:rsid w:val="6BC82616"/>
    <w:rsid w:val="6BC8789F"/>
    <w:rsid w:val="6BD12BF8"/>
    <w:rsid w:val="6BD21626"/>
    <w:rsid w:val="6BD46244"/>
    <w:rsid w:val="6BE304BC"/>
    <w:rsid w:val="6BEE7306"/>
    <w:rsid w:val="6C014D65"/>
    <w:rsid w:val="6C043372"/>
    <w:rsid w:val="6C1F3963"/>
    <w:rsid w:val="6C301294"/>
    <w:rsid w:val="6C507FC1"/>
    <w:rsid w:val="6C657B05"/>
    <w:rsid w:val="6C6C46CF"/>
    <w:rsid w:val="6C7041BF"/>
    <w:rsid w:val="6C8D3AD4"/>
    <w:rsid w:val="6CA43E69"/>
    <w:rsid w:val="6CAB3449"/>
    <w:rsid w:val="6CAE11B5"/>
    <w:rsid w:val="6CC05BEC"/>
    <w:rsid w:val="6CC523B6"/>
    <w:rsid w:val="6CEA606F"/>
    <w:rsid w:val="6D0A4613"/>
    <w:rsid w:val="6D19684D"/>
    <w:rsid w:val="6D230BD1"/>
    <w:rsid w:val="6D260D22"/>
    <w:rsid w:val="6D2C25EA"/>
    <w:rsid w:val="6D4318D3"/>
    <w:rsid w:val="6D551F7C"/>
    <w:rsid w:val="6D65609A"/>
    <w:rsid w:val="6D724C5B"/>
    <w:rsid w:val="6D771298"/>
    <w:rsid w:val="6D8777FF"/>
    <w:rsid w:val="6D91263F"/>
    <w:rsid w:val="6DAC56CB"/>
    <w:rsid w:val="6DAF6D9E"/>
    <w:rsid w:val="6DB56102"/>
    <w:rsid w:val="6DC3470F"/>
    <w:rsid w:val="6DD37865"/>
    <w:rsid w:val="6DEA4F59"/>
    <w:rsid w:val="6DFB49F2"/>
    <w:rsid w:val="6E0A53D1"/>
    <w:rsid w:val="6E2E49B9"/>
    <w:rsid w:val="6E423939"/>
    <w:rsid w:val="6E4451E3"/>
    <w:rsid w:val="6E4D23DD"/>
    <w:rsid w:val="6E5A56A7"/>
    <w:rsid w:val="6E615662"/>
    <w:rsid w:val="6E8126B3"/>
    <w:rsid w:val="6E8729AA"/>
    <w:rsid w:val="6EB969E6"/>
    <w:rsid w:val="6EBC193D"/>
    <w:rsid w:val="6EC151A6"/>
    <w:rsid w:val="6ECE3333"/>
    <w:rsid w:val="6EEA6ECE"/>
    <w:rsid w:val="6EF72976"/>
    <w:rsid w:val="6F0559E7"/>
    <w:rsid w:val="6F0F6A1B"/>
    <w:rsid w:val="6F100C22"/>
    <w:rsid w:val="6F1A797A"/>
    <w:rsid w:val="6F215D22"/>
    <w:rsid w:val="6F40431D"/>
    <w:rsid w:val="6F4E5D12"/>
    <w:rsid w:val="6F6D2C38"/>
    <w:rsid w:val="6F7E6BF3"/>
    <w:rsid w:val="6F946416"/>
    <w:rsid w:val="6F9E54E7"/>
    <w:rsid w:val="6FA56875"/>
    <w:rsid w:val="6FC2649C"/>
    <w:rsid w:val="6FC33560"/>
    <w:rsid w:val="6FD9207B"/>
    <w:rsid w:val="6FE50A20"/>
    <w:rsid w:val="7008443F"/>
    <w:rsid w:val="700E4D7B"/>
    <w:rsid w:val="701B321F"/>
    <w:rsid w:val="702470B5"/>
    <w:rsid w:val="702D2E94"/>
    <w:rsid w:val="702F05BE"/>
    <w:rsid w:val="70430561"/>
    <w:rsid w:val="70455C8F"/>
    <w:rsid w:val="70545BA6"/>
    <w:rsid w:val="7060677F"/>
    <w:rsid w:val="70757FF6"/>
    <w:rsid w:val="70785CF4"/>
    <w:rsid w:val="707F2C23"/>
    <w:rsid w:val="70A50728"/>
    <w:rsid w:val="70DA254F"/>
    <w:rsid w:val="71004BB8"/>
    <w:rsid w:val="7104645B"/>
    <w:rsid w:val="71184DC4"/>
    <w:rsid w:val="712B2DAA"/>
    <w:rsid w:val="7130654E"/>
    <w:rsid w:val="71327C95"/>
    <w:rsid w:val="715513E4"/>
    <w:rsid w:val="715F3029"/>
    <w:rsid w:val="7161057A"/>
    <w:rsid w:val="71641E18"/>
    <w:rsid w:val="71AF5789"/>
    <w:rsid w:val="71B42DA0"/>
    <w:rsid w:val="71C36515"/>
    <w:rsid w:val="71C87060"/>
    <w:rsid w:val="71CD751C"/>
    <w:rsid w:val="71E04502"/>
    <w:rsid w:val="71E249A3"/>
    <w:rsid w:val="71E87F09"/>
    <w:rsid w:val="71EB06FF"/>
    <w:rsid w:val="71F7344B"/>
    <w:rsid w:val="71FF6B28"/>
    <w:rsid w:val="720B10BF"/>
    <w:rsid w:val="720C2BDC"/>
    <w:rsid w:val="722B6F09"/>
    <w:rsid w:val="72345C8F"/>
    <w:rsid w:val="723B394A"/>
    <w:rsid w:val="72444124"/>
    <w:rsid w:val="724E42D2"/>
    <w:rsid w:val="725320D0"/>
    <w:rsid w:val="725517B3"/>
    <w:rsid w:val="728625D7"/>
    <w:rsid w:val="729329B5"/>
    <w:rsid w:val="72B85D86"/>
    <w:rsid w:val="72BE7843"/>
    <w:rsid w:val="72C71F2D"/>
    <w:rsid w:val="72DE2858"/>
    <w:rsid w:val="72EA1F3A"/>
    <w:rsid w:val="72EB0A43"/>
    <w:rsid w:val="72EE22E1"/>
    <w:rsid w:val="72FE244C"/>
    <w:rsid w:val="730613D9"/>
    <w:rsid w:val="73104006"/>
    <w:rsid w:val="73261A7B"/>
    <w:rsid w:val="73577FD4"/>
    <w:rsid w:val="737D4C17"/>
    <w:rsid w:val="737D5B67"/>
    <w:rsid w:val="737E5EEA"/>
    <w:rsid w:val="739764D5"/>
    <w:rsid w:val="739B4217"/>
    <w:rsid w:val="739C3AEB"/>
    <w:rsid w:val="73A66CA8"/>
    <w:rsid w:val="73AB3D2F"/>
    <w:rsid w:val="73CE2E42"/>
    <w:rsid w:val="73DE39BC"/>
    <w:rsid w:val="73F73CFA"/>
    <w:rsid w:val="74100036"/>
    <w:rsid w:val="743E6BEA"/>
    <w:rsid w:val="74531331"/>
    <w:rsid w:val="746A6679"/>
    <w:rsid w:val="747644A9"/>
    <w:rsid w:val="74820F33"/>
    <w:rsid w:val="749347B2"/>
    <w:rsid w:val="74A009B7"/>
    <w:rsid w:val="74AD4B8B"/>
    <w:rsid w:val="74AE403F"/>
    <w:rsid w:val="74B43784"/>
    <w:rsid w:val="74C12C82"/>
    <w:rsid w:val="74E16269"/>
    <w:rsid w:val="74F01ABD"/>
    <w:rsid w:val="74FD05BA"/>
    <w:rsid w:val="75232716"/>
    <w:rsid w:val="754E22E5"/>
    <w:rsid w:val="754F6615"/>
    <w:rsid w:val="755F74C6"/>
    <w:rsid w:val="75666C71"/>
    <w:rsid w:val="75862CA5"/>
    <w:rsid w:val="758E456C"/>
    <w:rsid w:val="759E127A"/>
    <w:rsid w:val="75AD1FE0"/>
    <w:rsid w:val="75B02D9F"/>
    <w:rsid w:val="75C53683"/>
    <w:rsid w:val="75DF5F11"/>
    <w:rsid w:val="75F53987"/>
    <w:rsid w:val="75F85FFC"/>
    <w:rsid w:val="75FE7A3D"/>
    <w:rsid w:val="760709FF"/>
    <w:rsid w:val="760D77C7"/>
    <w:rsid w:val="7645046A"/>
    <w:rsid w:val="764B5214"/>
    <w:rsid w:val="764D37C3"/>
    <w:rsid w:val="76551BEE"/>
    <w:rsid w:val="7668411D"/>
    <w:rsid w:val="76760624"/>
    <w:rsid w:val="768F16E6"/>
    <w:rsid w:val="769136B0"/>
    <w:rsid w:val="76921D50"/>
    <w:rsid w:val="76967C55"/>
    <w:rsid w:val="76A65C6D"/>
    <w:rsid w:val="76AC04E9"/>
    <w:rsid w:val="76AE4262"/>
    <w:rsid w:val="76CC293A"/>
    <w:rsid w:val="76D108FC"/>
    <w:rsid w:val="770519A8"/>
    <w:rsid w:val="77180A3F"/>
    <w:rsid w:val="771A5453"/>
    <w:rsid w:val="77476464"/>
    <w:rsid w:val="7755292F"/>
    <w:rsid w:val="775B1CAC"/>
    <w:rsid w:val="777C3234"/>
    <w:rsid w:val="778B45A3"/>
    <w:rsid w:val="778E123C"/>
    <w:rsid w:val="77920316"/>
    <w:rsid w:val="779C4929"/>
    <w:rsid w:val="77B6216E"/>
    <w:rsid w:val="77B70EF4"/>
    <w:rsid w:val="77C90C27"/>
    <w:rsid w:val="77D26378"/>
    <w:rsid w:val="77D41B81"/>
    <w:rsid w:val="77DE46D3"/>
    <w:rsid w:val="77E31CE9"/>
    <w:rsid w:val="77E617D9"/>
    <w:rsid w:val="78063C29"/>
    <w:rsid w:val="782B18E2"/>
    <w:rsid w:val="78473390"/>
    <w:rsid w:val="786F3596"/>
    <w:rsid w:val="786F5C73"/>
    <w:rsid w:val="787B7D22"/>
    <w:rsid w:val="788173BD"/>
    <w:rsid w:val="78970D25"/>
    <w:rsid w:val="789B25C4"/>
    <w:rsid w:val="78A00193"/>
    <w:rsid w:val="78A05F93"/>
    <w:rsid w:val="78AC47D1"/>
    <w:rsid w:val="78CC4E73"/>
    <w:rsid w:val="78DF35B6"/>
    <w:rsid w:val="78FB12B4"/>
    <w:rsid w:val="790C6541"/>
    <w:rsid w:val="791130F5"/>
    <w:rsid w:val="79175D11"/>
    <w:rsid w:val="79204546"/>
    <w:rsid w:val="79386064"/>
    <w:rsid w:val="793873D6"/>
    <w:rsid w:val="79444069"/>
    <w:rsid w:val="794455A3"/>
    <w:rsid w:val="794600E4"/>
    <w:rsid w:val="79461D2B"/>
    <w:rsid w:val="794C7D62"/>
    <w:rsid w:val="795762E3"/>
    <w:rsid w:val="79870D9A"/>
    <w:rsid w:val="7997722F"/>
    <w:rsid w:val="799B5C08"/>
    <w:rsid w:val="79B3393D"/>
    <w:rsid w:val="79B778D1"/>
    <w:rsid w:val="79B96B1B"/>
    <w:rsid w:val="79BA4CCB"/>
    <w:rsid w:val="79BD31F9"/>
    <w:rsid w:val="79C30024"/>
    <w:rsid w:val="79DE4E5E"/>
    <w:rsid w:val="79F82CCF"/>
    <w:rsid w:val="7A401D4D"/>
    <w:rsid w:val="7A460A86"/>
    <w:rsid w:val="7A540C7C"/>
    <w:rsid w:val="7A593ECA"/>
    <w:rsid w:val="7A5C6203"/>
    <w:rsid w:val="7A731CCA"/>
    <w:rsid w:val="7A82285A"/>
    <w:rsid w:val="7A84390D"/>
    <w:rsid w:val="7A9C250F"/>
    <w:rsid w:val="7AAA4D40"/>
    <w:rsid w:val="7ACB4CB6"/>
    <w:rsid w:val="7AD604F6"/>
    <w:rsid w:val="7AD72608"/>
    <w:rsid w:val="7AD853DF"/>
    <w:rsid w:val="7AE2272C"/>
    <w:rsid w:val="7AF75AAB"/>
    <w:rsid w:val="7B0E6D55"/>
    <w:rsid w:val="7B38758C"/>
    <w:rsid w:val="7B3C48DE"/>
    <w:rsid w:val="7B670E83"/>
    <w:rsid w:val="7BB045D8"/>
    <w:rsid w:val="7BCB31C0"/>
    <w:rsid w:val="7C095060"/>
    <w:rsid w:val="7C134B67"/>
    <w:rsid w:val="7C1728A9"/>
    <w:rsid w:val="7C217EDA"/>
    <w:rsid w:val="7C29438A"/>
    <w:rsid w:val="7C324FED"/>
    <w:rsid w:val="7C3E1BE4"/>
    <w:rsid w:val="7C52743D"/>
    <w:rsid w:val="7C605FFE"/>
    <w:rsid w:val="7C82059D"/>
    <w:rsid w:val="7C832276"/>
    <w:rsid w:val="7C857813"/>
    <w:rsid w:val="7C8A06C3"/>
    <w:rsid w:val="7C8C767D"/>
    <w:rsid w:val="7C8F7FEE"/>
    <w:rsid w:val="7CA61D41"/>
    <w:rsid w:val="7CA96C51"/>
    <w:rsid w:val="7CB65C1E"/>
    <w:rsid w:val="7CDE33C7"/>
    <w:rsid w:val="7D00333D"/>
    <w:rsid w:val="7D3905FD"/>
    <w:rsid w:val="7D490CCE"/>
    <w:rsid w:val="7D4B2481"/>
    <w:rsid w:val="7D5E0064"/>
    <w:rsid w:val="7D5E1E12"/>
    <w:rsid w:val="7D9942C4"/>
    <w:rsid w:val="7D9C2640"/>
    <w:rsid w:val="7DA4016C"/>
    <w:rsid w:val="7DB4751F"/>
    <w:rsid w:val="7DBC01D8"/>
    <w:rsid w:val="7DC3502D"/>
    <w:rsid w:val="7DD96924"/>
    <w:rsid w:val="7DE10599"/>
    <w:rsid w:val="7DE90F62"/>
    <w:rsid w:val="7E052DBB"/>
    <w:rsid w:val="7E1D1BAF"/>
    <w:rsid w:val="7E220158"/>
    <w:rsid w:val="7E4234E1"/>
    <w:rsid w:val="7E776322"/>
    <w:rsid w:val="7E787DB5"/>
    <w:rsid w:val="7E7B227F"/>
    <w:rsid w:val="7EC357FF"/>
    <w:rsid w:val="7ED4798C"/>
    <w:rsid w:val="7F041526"/>
    <w:rsid w:val="7F0A3FFF"/>
    <w:rsid w:val="7F0C421B"/>
    <w:rsid w:val="7F121106"/>
    <w:rsid w:val="7F143B96"/>
    <w:rsid w:val="7F1E309A"/>
    <w:rsid w:val="7F2A5E01"/>
    <w:rsid w:val="7F3F34ED"/>
    <w:rsid w:val="7F555722"/>
    <w:rsid w:val="7F572FBC"/>
    <w:rsid w:val="7F792F33"/>
    <w:rsid w:val="7F7B0EA1"/>
    <w:rsid w:val="7F8E2E82"/>
    <w:rsid w:val="7FBB6153"/>
    <w:rsid w:val="7FC93EBA"/>
    <w:rsid w:val="7FCE62BA"/>
    <w:rsid w:val="7FEB0502"/>
    <w:rsid w:val="7FF83817"/>
    <w:rsid w:val="7FF870E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qFormat="1" w:unhideWhenUsed="0" w:uiPriority="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iPriority="99"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2"/>
    <w:qFormat/>
    <w:uiPriority w:val="0"/>
    <w:pPr>
      <w:widowControl/>
      <w:spacing w:before="480" w:beforeLines="0" w:line="480" w:lineRule="auto"/>
      <w:jc w:val="center"/>
      <w:outlineLvl w:val="0"/>
    </w:pPr>
    <w:rPr>
      <w:rFonts w:ascii="Cambria" w:hAnsi="Cambria" w:eastAsia="宋体"/>
      <w:b/>
      <w:bCs/>
      <w:kern w:val="0"/>
      <w:sz w:val="44"/>
      <w:szCs w:val="28"/>
      <w:lang w:eastAsia="en-US" w:bidi="en-US"/>
    </w:rPr>
  </w:style>
  <w:style w:type="paragraph" w:styleId="4">
    <w:name w:val="heading 2"/>
    <w:basedOn w:val="1"/>
    <w:next w:val="1"/>
    <w:link w:val="44"/>
    <w:qFormat/>
    <w:uiPriority w:val="0"/>
    <w:pPr>
      <w:keepNext/>
      <w:keepLines/>
      <w:widowControl/>
      <w:spacing w:before="120" w:beforeLines="0" w:after="120" w:afterLines="0" w:line="480" w:lineRule="auto"/>
      <w:jc w:val="left"/>
      <w:outlineLvl w:val="1"/>
    </w:pPr>
    <w:rPr>
      <w:rFonts w:ascii="Arial" w:hAnsi="Arial" w:eastAsia="等线"/>
      <w:b/>
      <w:bCs/>
      <w:kern w:val="0"/>
      <w:sz w:val="36"/>
      <w:szCs w:val="32"/>
      <w:lang w:eastAsia="en-US" w:bidi="en-US"/>
    </w:rPr>
  </w:style>
  <w:style w:type="paragraph" w:styleId="5">
    <w:name w:val="heading 3"/>
    <w:basedOn w:val="1"/>
    <w:next w:val="1"/>
    <w:link w:val="53"/>
    <w:qFormat/>
    <w:uiPriority w:val="0"/>
    <w:pPr>
      <w:keepNext/>
      <w:keepLines/>
      <w:widowControl/>
      <w:spacing w:beforeLines="0" w:afterLines="0" w:line="416" w:lineRule="auto"/>
      <w:jc w:val="left"/>
      <w:outlineLvl w:val="2"/>
    </w:pPr>
    <w:rPr>
      <w:rFonts w:ascii="Times New Roman" w:hAnsi="Times New Roman" w:eastAsia="宋体"/>
      <w:b/>
      <w:bCs/>
      <w:kern w:val="0"/>
      <w:sz w:val="32"/>
      <w:szCs w:val="32"/>
      <w:lang w:eastAsia="en-US" w:bidi="en-US"/>
    </w:rPr>
  </w:style>
  <w:style w:type="paragraph" w:styleId="6">
    <w:name w:val="heading 4"/>
    <w:basedOn w:val="1"/>
    <w:next w:val="1"/>
    <w:link w:val="54"/>
    <w:qFormat/>
    <w:uiPriority w:val="0"/>
    <w:pPr>
      <w:keepNext/>
      <w:keepLines/>
      <w:widowControl/>
      <w:spacing w:beforeLines="0" w:afterLines="0" w:line="377" w:lineRule="auto"/>
      <w:jc w:val="left"/>
      <w:outlineLvl w:val="3"/>
    </w:pPr>
    <w:rPr>
      <w:rFonts w:ascii="Arial" w:hAnsi="Arial" w:eastAsia="等线"/>
      <w:b/>
      <w:bCs/>
      <w:kern w:val="0"/>
      <w:sz w:val="28"/>
      <w:szCs w:val="28"/>
      <w:lang w:eastAsia="en-US" w:bidi="en-US"/>
    </w:rPr>
  </w:style>
  <w:style w:type="paragraph" w:styleId="7">
    <w:name w:val="heading 9"/>
    <w:basedOn w:val="1"/>
    <w:next w:val="1"/>
    <w:qFormat/>
    <w:uiPriority w:val="0"/>
    <w:pPr>
      <w:keepNext/>
      <w:keepLines/>
      <w:spacing w:before="240" w:beforeLines="0" w:beforeAutospacing="0" w:after="64" w:afterLines="0" w:afterAutospacing="0" w:line="317" w:lineRule="auto"/>
      <w:outlineLvl w:val="8"/>
    </w:pPr>
    <w:rPr>
      <w:rFonts w:ascii="Arial" w:hAnsi="Arial" w:eastAsia="等线"/>
      <w:sz w:val="21"/>
    </w:rPr>
  </w:style>
  <w:style w:type="character" w:default="1" w:styleId="38">
    <w:name w:val="Default Paragraph Font"/>
    <w:semiHidden/>
    <w:qFormat/>
    <w:uiPriority w:val="0"/>
  </w:style>
  <w:style w:type="table" w:default="1" w:styleId="35">
    <w:name w:val="Normal Table"/>
    <w:semiHidden/>
    <w:qFormat/>
    <w:uiPriority w:val="0"/>
    <w:tblPr>
      <w:tblCellMar>
        <w:top w:w="0" w:type="dxa"/>
        <w:left w:w="108" w:type="dxa"/>
        <w:bottom w:w="0" w:type="dxa"/>
        <w:right w:w="108" w:type="dxa"/>
      </w:tblCellMar>
    </w:tblPr>
  </w:style>
  <w:style w:type="paragraph" w:styleId="2">
    <w:name w:val="macro"/>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8">
    <w:name w:val="toc 7"/>
    <w:basedOn w:val="1"/>
    <w:next w:val="1"/>
    <w:qFormat/>
    <w:uiPriority w:val="39"/>
    <w:pPr>
      <w:ind w:left="1260"/>
      <w:jc w:val="left"/>
    </w:pPr>
    <w:rPr>
      <w:rFonts w:ascii="Calibri" w:hAnsi="Calibri" w:cs="Calibri"/>
      <w:sz w:val="18"/>
      <w:szCs w:val="18"/>
    </w:rPr>
  </w:style>
  <w:style w:type="paragraph" w:styleId="9">
    <w:name w:val="Note Heading"/>
    <w:basedOn w:val="1"/>
    <w:next w:val="1"/>
    <w:link w:val="55"/>
    <w:qFormat/>
    <w:uiPriority w:val="0"/>
    <w:pPr>
      <w:widowControl/>
      <w:spacing w:after="200" w:line="276" w:lineRule="auto"/>
      <w:jc w:val="center"/>
    </w:pPr>
    <w:rPr>
      <w:rFonts w:ascii="宋体"/>
      <w:szCs w:val="20"/>
    </w:rPr>
  </w:style>
  <w:style w:type="paragraph" w:styleId="10">
    <w:name w:val="Normal Indent"/>
    <w:basedOn w:val="1"/>
    <w:link w:val="56"/>
    <w:qFormat/>
    <w:uiPriority w:val="0"/>
    <w:pPr>
      <w:ind w:firstLine="420" w:firstLineChars="200"/>
    </w:pPr>
  </w:style>
  <w:style w:type="paragraph" w:styleId="11">
    <w:name w:val="Document Map"/>
    <w:basedOn w:val="1"/>
    <w:semiHidden/>
    <w:qFormat/>
    <w:uiPriority w:val="0"/>
    <w:pPr>
      <w:shd w:val="clear" w:color="auto" w:fill="000080"/>
    </w:pPr>
  </w:style>
  <w:style w:type="paragraph" w:styleId="12">
    <w:name w:val="annotation text"/>
    <w:basedOn w:val="1"/>
    <w:next w:val="13"/>
    <w:link w:val="57"/>
    <w:qFormat/>
    <w:uiPriority w:val="0"/>
    <w:pPr>
      <w:jc w:val="left"/>
    </w:pPr>
    <w:rPr>
      <w:rFonts w:eastAsia="宋体"/>
    </w:rPr>
  </w:style>
  <w:style w:type="paragraph" w:customStyle="1" w:styleId="13">
    <w:name w:val="Char"/>
    <w:basedOn w:val="11"/>
    <w:qFormat/>
    <w:uiPriority w:val="0"/>
    <w:rPr>
      <w:szCs w:val="30"/>
    </w:rPr>
  </w:style>
  <w:style w:type="paragraph" w:styleId="14">
    <w:name w:val="Body Text"/>
    <w:basedOn w:val="1"/>
    <w:qFormat/>
    <w:uiPriority w:val="0"/>
    <w:rPr>
      <w:sz w:val="28"/>
    </w:rPr>
  </w:style>
  <w:style w:type="paragraph" w:styleId="15">
    <w:name w:val="Body Text Indent"/>
    <w:basedOn w:val="1"/>
    <w:link w:val="51"/>
    <w:qFormat/>
    <w:uiPriority w:val="0"/>
    <w:pPr>
      <w:spacing w:after="120"/>
      <w:ind w:left="420" w:leftChars="200"/>
    </w:pPr>
    <w:rPr>
      <w:rFonts w:eastAsia="宋体"/>
    </w:rPr>
  </w:style>
  <w:style w:type="paragraph" w:styleId="16">
    <w:name w:val="index 4"/>
    <w:basedOn w:val="1"/>
    <w:next w:val="1"/>
    <w:qFormat/>
    <w:uiPriority w:val="0"/>
    <w:pPr>
      <w:adjustRightInd w:val="0"/>
      <w:snapToGrid w:val="0"/>
      <w:spacing w:line="480" w:lineRule="exact"/>
      <w:ind w:left="600" w:leftChars="600" w:firstLine="200" w:firstLineChars="200"/>
    </w:pPr>
    <w:rPr>
      <w:rFonts w:ascii="宋体" w:hAnsi="宋体" w:eastAsia="等线 Light" w:cs="宋体"/>
      <w:kern w:val="0"/>
      <w:sz w:val="28"/>
      <w:szCs w:val="28"/>
    </w:rPr>
  </w:style>
  <w:style w:type="paragraph" w:styleId="17">
    <w:name w:val="toc 5"/>
    <w:basedOn w:val="1"/>
    <w:next w:val="1"/>
    <w:qFormat/>
    <w:uiPriority w:val="39"/>
    <w:pPr>
      <w:ind w:left="840"/>
      <w:jc w:val="left"/>
    </w:pPr>
    <w:rPr>
      <w:rFonts w:ascii="Calibri" w:hAnsi="Calibri" w:cs="Calibri"/>
      <w:sz w:val="18"/>
      <w:szCs w:val="18"/>
    </w:rPr>
  </w:style>
  <w:style w:type="paragraph" w:styleId="18">
    <w:name w:val="toc 3"/>
    <w:basedOn w:val="1"/>
    <w:next w:val="1"/>
    <w:qFormat/>
    <w:uiPriority w:val="39"/>
    <w:pPr>
      <w:ind w:left="420"/>
      <w:jc w:val="both"/>
    </w:pPr>
    <w:rPr>
      <w:rFonts w:ascii="Calibri" w:hAnsi="Calibri" w:eastAsia="宋体" w:cs="Calibri"/>
      <w:iCs/>
      <w:sz w:val="20"/>
      <w:szCs w:val="20"/>
    </w:rPr>
  </w:style>
  <w:style w:type="paragraph" w:styleId="19">
    <w:name w:val="Plain Text"/>
    <w:basedOn w:val="1"/>
    <w:qFormat/>
    <w:uiPriority w:val="0"/>
    <w:rPr>
      <w:rFonts w:ascii="宋体" w:hAnsi="Courier New"/>
      <w:szCs w:val="21"/>
    </w:rPr>
  </w:style>
  <w:style w:type="paragraph" w:styleId="20">
    <w:name w:val="toc 8"/>
    <w:basedOn w:val="1"/>
    <w:next w:val="1"/>
    <w:qFormat/>
    <w:uiPriority w:val="39"/>
    <w:pPr>
      <w:ind w:left="1470"/>
      <w:jc w:val="left"/>
    </w:pPr>
    <w:rPr>
      <w:rFonts w:ascii="Calibri" w:hAnsi="Calibri" w:cs="Calibri"/>
      <w:sz w:val="18"/>
      <w:szCs w:val="18"/>
    </w:rPr>
  </w:style>
  <w:style w:type="paragraph" w:styleId="21">
    <w:name w:val="Body Text Indent 2"/>
    <w:basedOn w:val="1"/>
    <w:qFormat/>
    <w:uiPriority w:val="0"/>
    <w:pPr>
      <w:spacing w:after="120" w:line="480" w:lineRule="auto"/>
      <w:ind w:left="420" w:leftChars="200"/>
    </w:pPr>
  </w:style>
  <w:style w:type="paragraph" w:styleId="22">
    <w:name w:val="Balloon Text"/>
    <w:basedOn w:val="1"/>
    <w:semiHidden/>
    <w:qFormat/>
    <w:uiPriority w:val="0"/>
    <w:rPr>
      <w:sz w:val="18"/>
      <w:szCs w:val="18"/>
    </w:rPr>
  </w:style>
  <w:style w:type="paragraph" w:styleId="23">
    <w:name w:val="footer"/>
    <w:basedOn w:val="1"/>
    <w:link w:val="58"/>
    <w:qFormat/>
    <w:uiPriority w:val="99"/>
    <w:pPr>
      <w:tabs>
        <w:tab w:val="center" w:pos="4153"/>
        <w:tab w:val="right" w:pos="8306"/>
      </w:tabs>
      <w:snapToGrid w:val="0"/>
      <w:jc w:val="left"/>
    </w:pPr>
    <w:rPr>
      <w:rFonts w:eastAsia="宋体"/>
      <w:sz w:val="18"/>
      <w:szCs w:val="18"/>
    </w:rPr>
  </w:style>
  <w:style w:type="paragraph" w:styleId="24">
    <w:name w:val="header"/>
    <w:basedOn w:val="1"/>
    <w:link w:val="50"/>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39"/>
    <w:pPr>
      <w:spacing w:before="120" w:after="120"/>
      <w:jc w:val="both"/>
    </w:pPr>
    <w:rPr>
      <w:rFonts w:ascii="Calibri" w:hAnsi="Calibri" w:eastAsia="宋体" w:cs="Calibri"/>
      <w:b/>
      <w:bCs/>
      <w:caps/>
      <w:sz w:val="20"/>
      <w:szCs w:val="20"/>
    </w:rPr>
  </w:style>
  <w:style w:type="paragraph" w:styleId="26">
    <w:name w:val="toc 4"/>
    <w:basedOn w:val="1"/>
    <w:next w:val="1"/>
    <w:qFormat/>
    <w:uiPriority w:val="39"/>
    <w:pPr>
      <w:ind w:left="630"/>
      <w:jc w:val="left"/>
    </w:pPr>
    <w:rPr>
      <w:rFonts w:ascii="Calibri" w:hAnsi="Calibri" w:cs="Calibri"/>
      <w:sz w:val="18"/>
      <w:szCs w:val="18"/>
    </w:rPr>
  </w:style>
  <w:style w:type="paragraph" w:styleId="27">
    <w:name w:val="List"/>
    <w:basedOn w:val="1"/>
    <w:qFormat/>
    <w:uiPriority w:val="0"/>
    <w:pPr>
      <w:ind w:left="200" w:hanging="200" w:hangingChars="200"/>
    </w:pPr>
    <w:rPr>
      <w:sz w:val="28"/>
    </w:rPr>
  </w:style>
  <w:style w:type="paragraph" w:styleId="28">
    <w:name w:val="toc 6"/>
    <w:basedOn w:val="1"/>
    <w:next w:val="1"/>
    <w:qFormat/>
    <w:uiPriority w:val="39"/>
    <w:pPr>
      <w:ind w:left="1050"/>
      <w:jc w:val="left"/>
    </w:pPr>
    <w:rPr>
      <w:rFonts w:ascii="Calibri" w:hAnsi="Calibri" w:cs="Calibri"/>
      <w:sz w:val="18"/>
      <w:szCs w:val="18"/>
    </w:rPr>
  </w:style>
  <w:style w:type="paragraph" w:styleId="29">
    <w:name w:val="toc 2"/>
    <w:basedOn w:val="1"/>
    <w:next w:val="1"/>
    <w:qFormat/>
    <w:uiPriority w:val="39"/>
    <w:pPr>
      <w:ind w:left="210"/>
      <w:jc w:val="left"/>
    </w:pPr>
    <w:rPr>
      <w:rFonts w:ascii="Calibri" w:hAnsi="Calibri" w:cs="Calibri"/>
      <w:smallCaps/>
      <w:sz w:val="20"/>
      <w:szCs w:val="20"/>
    </w:rPr>
  </w:style>
  <w:style w:type="paragraph" w:styleId="30">
    <w:name w:val="toc 9"/>
    <w:basedOn w:val="1"/>
    <w:next w:val="1"/>
    <w:qFormat/>
    <w:uiPriority w:val="39"/>
    <w:pPr>
      <w:ind w:left="1680"/>
      <w:jc w:val="left"/>
    </w:pPr>
    <w:rPr>
      <w:rFonts w:ascii="Calibri" w:hAnsi="Calibri" w:cs="Calibri"/>
      <w:sz w:val="18"/>
      <w:szCs w:val="18"/>
    </w:rPr>
  </w:style>
  <w:style w:type="paragraph" w:styleId="31">
    <w:name w:val="Normal (Web)"/>
    <w:basedOn w:val="1"/>
    <w:qFormat/>
    <w:uiPriority w:val="0"/>
    <w:pPr>
      <w:widowControl/>
      <w:jc w:val="left"/>
    </w:pPr>
    <w:rPr>
      <w:rFonts w:ascii="宋体" w:hAnsi="宋体" w:cs="宋体"/>
      <w:kern w:val="0"/>
      <w:sz w:val="24"/>
    </w:rPr>
  </w:style>
  <w:style w:type="paragraph" w:styleId="32">
    <w:name w:val="annotation subject"/>
    <w:basedOn w:val="12"/>
    <w:next w:val="12"/>
    <w:link w:val="59"/>
    <w:qFormat/>
    <w:uiPriority w:val="0"/>
    <w:rPr>
      <w:b/>
      <w:bCs/>
    </w:rPr>
  </w:style>
  <w:style w:type="paragraph" w:styleId="33">
    <w:name w:val="Body Text First Indent"/>
    <w:basedOn w:val="14"/>
    <w:link w:val="60"/>
    <w:qFormat/>
    <w:uiPriority w:val="99"/>
    <w:pPr>
      <w:spacing w:after="120"/>
      <w:ind w:firstLine="420" w:firstLineChars="100"/>
    </w:pPr>
    <w:rPr>
      <w:sz w:val="21"/>
    </w:rPr>
  </w:style>
  <w:style w:type="paragraph" w:styleId="34">
    <w:name w:val="Body Text First Indent 2"/>
    <w:basedOn w:val="15"/>
    <w:next w:val="1"/>
    <w:unhideWhenUsed/>
    <w:qFormat/>
    <w:uiPriority w:val="99"/>
    <w:pPr>
      <w:adjustRightInd/>
      <w:spacing w:after="120" w:line="240" w:lineRule="auto"/>
      <w:ind w:left="420" w:leftChars="200" w:firstLine="420" w:firstLineChars="200"/>
      <w:jc w:val="both"/>
      <w:textAlignment w:val="auto"/>
    </w:pPr>
    <w:rPr>
      <w:kern w:val="2"/>
      <w:sz w:val="21"/>
      <w:szCs w:val="22"/>
    </w:rPr>
  </w:style>
  <w:style w:type="table" w:styleId="36">
    <w:name w:val="Table Grid"/>
    <w:basedOn w:val="3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7">
    <w:name w:val="Table Theme"/>
    <w:basedOn w:val="35"/>
    <w:qFormat/>
    <w:uiPriority w:val="0"/>
    <w:pPr>
      <w:spacing w:after="200" w:line="276"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9">
    <w:name w:val="Strong"/>
    <w:qFormat/>
    <w:uiPriority w:val="0"/>
    <w:rPr>
      <w:b/>
      <w:bCs/>
    </w:rPr>
  </w:style>
  <w:style w:type="character" w:styleId="40">
    <w:name w:val="page number"/>
    <w:qFormat/>
    <w:uiPriority w:val="0"/>
  </w:style>
  <w:style w:type="character" w:styleId="41">
    <w:name w:val="Emphasis"/>
    <w:qFormat/>
    <w:uiPriority w:val="0"/>
    <w:rPr>
      <w:i/>
      <w:iCs/>
    </w:rPr>
  </w:style>
  <w:style w:type="character" w:styleId="42">
    <w:name w:val="Hyperlink"/>
    <w:qFormat/>
    <w:uiPriority w:val="99"/>
    <w:rPr>
      <w:color w:val="0000FF"/>
      <w:u w:val="single"/>
    </w:rPr>
  </w:style>
  <w:style w:type="character" w:styleId="43">
    <w:name w:val="annotation reference"/>
    <w:qFormat/>
    <w:uiPriority w:val="0"/>
    <w:rPr>
      <w:sz w:val="21"/>
      <w:szCs w:val="21"/>
    </w:rPr>
  </w:style>
  <w:style w:type="character" w:customStyle="1" w:styleId="44">
    <w:name w:val="标题 2 字符"/>
    <w:link w:val="4"/>
    <w:qFormat/>
    <w:uiPriority w:val="0"/>
    <w:rPr>
      <w:rFonts w:ascii="Arial" w:hAnsi="Arial" w:eastAsia="等线"/>
      <w:b/>
      <w:bCs/>
      <w:sz w:val="36"/>
      <w:szCs w:val="32"/>
      <w:lang w:val="en-US" w:eastAsia="en-US" w:bidi="en-US"/>
    </w:rPr>
  </w:style>
  <w:style w:type="paragraph" w:customStyle="1" w:styleId="45">
    <w:name w:val="2级标题"/>
    <w:basedOn w:val="4"/>
    <w:link w:val="49"/>
    <w:qFormat/>
    <w:uiPriority w:val="0"/>
    <w:pPr>
      <w:keepNext w:val="0"/>
      <w:keepLines w:val="0"/>
      <w:widowControl w:val="0"/>
      <w:adjustRightInd w:val="0"/>
      <w:snapToGrid w:val="0"/>
      <w:spacing w:before="160" w:after="0" w:afterLines="50" w:line="500" w:lineRule="exact"/>
    </w:pPr>
    <w:rPr>
      <w:rFonts w:ascii="宋体" w:hAnsi="宋体"/>
      <w:bCs w:val="0"/>
      <w:smallCaps/>
      <w:sz w:val="36"/>
      <w:szCs w:val="36"/>
      <w:lang w:bidi="ar-SA"/>
    </w:rPr>
  </w:style>
  <w:style w:type="paragraph" w:customStyle="1" w:styleId="46">
    <w:name w:val="3级标题"/>
    <w:basedOn w:val="1"/>
    <w:link w:val="61"/>
    <w:qFormat/>
    <w:uiPriority w:val="0"/>
    <w:pPr>
      <w:adjustRightInd w:val="0"/>
      <w:snapToGrid w:val="0"/>
      <w:spacing w:before="240" w:after="120" w:line="500" w:lineRule="exact"/>
      <w:outlineLvl w:val="2"/>
    </w:pPr>
    <w:rPr>
      <w:rFonts w:ascii="宋体" w:hAnsi="宋体" w:eastAsia="等线"/>
      <w:b/>
      <w:kern w:val="0"/>
      <w:sz w:val="32"/>
      <w:szCs w:val="32"/>
    </w:rPr>
  </w:style>
  <w:style w:type="paragraph" w:customStyle="1" w:styleId="47">
    <w:name w:val="4级标题"/>
    <w:basedOn w:val="1"/>
    <w:link w:val="62"/>
    <w:qFormat/>
    <w:uiPriority w:val="0"/>
    <w:pPr>
      <w:spacing w:line="500" w:lineRule="exact"/>
      <w:jc w:val="left"/>
      <w:outlineLvl w:val="3"/>
    </w:pPr>
    <w:rPr>
      <w:rFonts w:ascii="宋体" w:hAnsi="宋体" w:eastAsia="等线"/>
      <w:b/>
      <w:sz w:val="28"/>
      <w:szCs w:val="28"/>
    </w:rPr>
  </w:style>
  <w:style w:type="paragraph" w:customStyle="1" w:styleId="48">
    <w:name w:val="表头"/>
    <w:basedOn w:val="1"/>
    <w:link w:val="63"/>
    <w:qFormat/>
    <w:uiPriority w:val="0"/>
    <w:pPr>
      <w:tabs>
        <w:tab w:val="left" w:pos="5327"/>
        <w:tab w:val="left" w:pos="6326"/>
        <w:tab w:val="left" w:pos="7230"/>
        <w:tab w:val="left" w:pos="9301"/>
      </w:tabs>
      <w:adjustRightInd w:val="0"/>
      <w:snapToGrid w:val="0"/>
      <w:spacing w:line="360" w:lineRule="auto"/>
      <w:jc w:val="center"/>
    </w:pPr>
    <w:rPr>
      <w:rFonts w:eastAsia="等线 Light"/>
      <w:b/>
      <w:bCs/>
      <w:color w:val="000000"/>
      <w:sz w:val="24"/>
      <w:szCs w:val="30"/>
    </w:rPr>
  </w:style>
  <w:style w:type="character" w:customStyle="1" w:styleId="49">
    <w:name w:val="2级标题 Char"/>
    <w:link w:val="45"/>
    <w:qFormat/>
    <w:uiPriority w:val="0"/>
    <w:rPr>
      <w:rFonts w:ascii="宋体" w:hAnsi="宋体" w:eastAsia="等线"/>
      <w:b/>
      <w:smallCaps/>
      <w:sz w:val="36"/>
      <w:szCs w:val="36"/>
    </w:rPr>
  </w:style>
  <w:style w:type="character" w:customStyle="1" w:styleId="50">
    <w:name w:val="页眉 字符"/>
    <w:link w:val="24"/>
    <w:qFormat/>
    <w:uiPriority w:val="0"/>
    <w:rPr>
      <w:kern w:val="2"/>
      <w:sz w:val="18"/>
      <w:szCs w:val="18"/>
    </w:rPr>
  </w:style>
  <w:style w:type="character" w:customStyle="1" w:styleId="51">
    <w:name w:val="正文文本缩进 字符"/>
    <w:link w:val="15"/>
    <w:semiHidden/>
    <w:qFormat/>
    <w:uiPriority w:val="0"/>
    <w:rPr>
      <w:rFonts w:eastAsia="宋体"/>
      <w:kern w:val="2"/>
      <w:sz w:val="21"/>
      <w:szCs w:val="24"/>
      <w:lang w:val="en-US" w:eastAsia="zh-CN" w:bidi="ar-SA"/>
    </w:rPr>
  </w:style>
  <w:style w:type="character" w:customStyle="1" w:styleId="52">
    <w:name w:val="标题 1 字符"/>
    <w:link w:val="3"/>
    <w:qFormat/>
    <w:uiPriority w:val="0"/>
    <w:rPr>
      <w:rFonts w:ascii="Cambria" w:hAnsi="Cambria" w:eastAsia="宋体"/>
      <w:b/>
      <w:bCs/>
      <w:sz w:val="44"/>
      <w:szCs w:val="28"/>
      <w:lang w:val="en-US" w:eastAsia="en-US" w:bidi="en-US"/>
    </w:rPr>
  </w:style>
  <w:style w:type="character" w:customStyle="1" w:styleId="53">
    <w:name w:val="标题 3 字符"/>
    <w:link w:val="5"/>
    <w:qFormat/>
    <w:uiPriority w:val="0"/>
    <w:rPr>
      <w:rFonts w:ascii="Times New Roman" w:hAnsi="Times New Roman" w:eastAsia="宋体"/>
      <w:b/>
      <w:bCs/>
      <w:sz w:val="32"/>
      <w:szCs w:val="32"/>
      <w:lang w:eastAsia="en-US" w:bidi="en-US"/>
    </w:rPr>
  </w:style>
  <w:style w:type="character" w:customStyle="1" w:styleId="54">
    <w:name w:val="标题 4 字符"/>
    <w:link w:val="6"/>
    <w:qFormat/>
    <w:uiPriority w:val="0"/>
    <w:rPr>
      <w:rFonts w:ascii="Arial" w:hAnsi="Arial" w:eastAsia="等线"/>
      <w:b/>
      <w:bCs/>
      <w:sz w:val="28"/>
      <w:szCs w:val="28"/>
      <w:lang w:eastAsia="en-US" w:bidi="en-US"/>
    </w:rPr>
  </w:style>
  <w:style w:type="character" w:customStyle="1" w:styleId="55">
    <w:name w:val="注释标题 字符"/>
    <w:link w:val="9"/>
    <w:qFormat/>
    <w:uiPriority w:val="0"/>
    <w:rPr>
      <w:rFonts w:ascii="宋体"/>
      <w:kern w:val="2"/>
      <w:sz w:val="21"/>
      <w:lang w:bidi="ar-SA"/>
    </w:rPr>
  </w:style>
  <w:style w:type="character" w:customStyle="1" w:styleId="56">
    <w:name w:val="正文缩进 字符"/>
    <w:link w:val="10"/>
    <w:qFormat/>
    <w:uiPriority w:val="0"/>
    <w:rPr>
      <w:kern w:val="2"/>
      <w:sz w:val="21"/>
      <w:szCs w:val="24"/>
    </w:rPr>
  </w:style>
  <w:style w:type="character" w:customStyle="1" w:styleId="57">
    <w:name w:val="批注文字 字符"/>
    <w:link w:val="12"/>
    <w:qFormat/>
    <w:uiPriority w:val="0"/>
    <w:rPr>
      <w:rFonts w:eastAsia="宋体"/>
      <w:kern w:val="2"/>
      <w:sz w:val="21"/>
      <w:szCs w:val="24"/>
      <w:lang w:val="en-US" w:eastAsia="zh-CN" w:bidi="ar-SA"/>
    </w:rPr>
  </w:style>
  <w:style w:type="character" w:customStyle="1" w:styleId="58">
    <w:name w:val="页脚 字符"/>
    <w:link w:val="23"/>
    <w:qFormat/>
    <w:uiPriority w:val="99"/>
    <w:rPr>
      <w:rFonts w:eastAsia="宋体"/>
      <w:kern w:val="2"/>
      <w:sz w:val="18"/>
      <w:szCs w:val="18"/>
      <w:lang w:val="en-US" w:eastAsia="zh-CN" w:bidi="ar-SA"/>
    </w:rPr>
  </w:style>
  <w:style w:type="character" w:customStyle="1" w:styleId="59">
    <w:name w:val="批注主题 字符"/>
    <w:link w:val="32"/>
    <w:qFormat/>
    <w:uiPriority w:val="0"/>
    <w:rPr>
      <w:rFonts w:eastAsia="宋体"/>
      <w:b/>
      <w:bCs/>
      <w:kern w:val="2"/>
      <w:sz w:val="21"/>
      <w:szCs w:val="24"/>
      <w:lang w:val="en-US" w:eastAsia="zh-CN" w:bidi="ar-SA"/>
    </w:rPr>
  </w:style>
  <w:style w:type="character" w:customStyle="1" w:styleId="60">
    <w:name w:val="正文文本首行缩进 字符"/>
    <w:link w:val="33"/>
    <w:qFormat/>
    <w:uiPriority w:val="99"/>
    <w:rPr>
      <w:kern w:val="2"/>
      <w:sz w:val="21"/>
      <w:szCs w:val="24"/>
    </w:rPr>
  </w:style>
  <w:style w:type="character" w:customStyle="1" w:styleId="61">
    <w:name w:val="3级标题 Char"/>
    <w:link w:val="46"/>
    <w:qFormat/>
    <w:uiPriority w:val="0"/>
    <w:rPr>
      <w:rFonts w:ascii="宋体" w:hAnsi="宋体" w:eastAsia="等线"/>
      <w:b/>
      <w:snapToGrid/>
      <w:sz w:val="32"/>
      <w:szCs w:val="32"/>
    </w:rPr>
  </w:style>
  <w:style w:type="character" w:customStyle="1" w:styleId="62">
    <w:name w:val="4级标题 Char"/>
    <w:link w:val="47"/>
    <w:qFormat/>
    <w:uiPriority w:val="0"/>
    <w:rPr>
      <w:rFonts w:ascii="宋体" w:hAnsi="宋体" w:eastAsia="等线"/>
      <w:b/>
      <w:kern w:val="2"/>
      <w:sz w:val="28"/>
      <w:szCs w:val="28"/>
    </w:rPr>
  </w:style>
  <w:style w:type="character" w:customStyle="1" w:styleId="63">
    <w:name w:val="表头 Char1"/>
    <w:link w:val="48"/>
    <w:qFormat/>
    <w:uiPriority w:val="0"/>
    <w:rPr>
      <w:rFonts w:eastAsia="等线 Light"/>
      <w:b/>
      <w:bCs/>
      <w:color w:val="000000"/>
      <w:kern w:val="2"/>
      <w:sz w:val="24"/>
      <w:szCs w:val="30"/>
    </w:rPr>
  </w:style>
  <w:style w:type="paragraph" w:customStyle="1" w:styleId="64">
    <w:name w:val="Default"/>
    <w:basedOn w:val="65"/>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customStyle="1" w:styleId="65">
    <w:name w:val="表格17"/>
    <w:qFormat/>
    <w:uiPriority w:val="0"/>
    <w:pPr>
      <w:widowControl w:val="0"/>
      <w:adjustRightInd w:val="0"/>
      <w:jc w:val="center"/>
    </w:pPr>
    <w:rPr>
      <w:rFonts w:ascii="Times New Roman" w:hAnsi="Times New Roman" w:eastAsia="宋体" w:cs="Times New Roman"/>
      <w:kern w:val="28"/>
      <w:sz w:val="28"/>
      <w:lang w:val="en-US" w:eastAsia="zh-CN" w:bidi="ar-SA"/>
    </w:rPr>
  </w:style>
  <w:style w:type="paragraph" w:customStyle="1" w:styleId="66">
    <w:name w:val="标题4"/>
    <w:basedOn w:val="16"/>
    <w:next w:val="67"/>
    <w:qFormat/>
    <w:uiPriority w:val="0"/>
    <w:rPr>
      <w:rFonts w:eastAsia="宋体"/>
    </w:rPr>
  </w:style>
  <w:style w:type="paragraph" w:customStyle="1" w:styleId="67">
    <w:name w:val="Char1"/>
    <w:basedOn w:val="1"/>
    <w:next w:val="13"/>
    <w:qFormat/>
    <w:uiPriority w:val="0"/>
    <w:pPr>
      <w:autoSpaceDE w:val="0"/>
      <w:autoSpaceDN w:val="0"/>
      <w:adjustRightInd w:val="0"/>
      <w:snapToGrid w:val="0"/>
      <w:spacing w:before="50" w:after="50" w:line="360" w:lineRule="auto"/>
      <w:ind w:firstLine="560" w:firstLineChars="200"/>
    </w:pPr>
    <w:rPr>
      <w:szCs w:val="20"/>
    </w:rPr>
  </w:style>
  <w:style w:type="paragraph" w:customStyle="1" w:styleId="68">
    <w:name w:val="首行缩进加粗"/>
    <w:basedOn w:val="1"/>
    <w:next w:val="69"/>
    <w:qFormat/>
    <w:uiPriority w:val="0"/>
    <w:pPr>
      <w:spacing w:line="360" w:lineRule="auto"/>
      <w:ind w:left="482" w:firstLine="4834"/>
    </w:pPr>
    <w:rPr>
      <w:rFonts w:ascii="宋体"/>
    </w:rPr>
  </w:style>
  <w:style w:type="paragraph" w:customStyle="1" w:styleId="69">
    <w:name w:val="四级条标题"/>
    <w:basedOn w:val="70"/>
    <w:next w:val="5"/>
    <w:qFormat/>
    <w:uiPriority w:val="0"/>
    <w:pPr>
      <w:tabs>
        <w:tab w:val="left" w:pos="360"/>
        <w:tab w:val="left" w:pos="1500"/>
      </w:tabs>
      <w:spacing w:before="50" w:after="50"/>
      <w:ind w:left="1080" w:firstLine="14"/>
      <w:outlineLvl w:val="5"/>
    </w:pPr>
  </w:style>
  <w:style w:type="paragraph" w:customStyle="1" w:styleId="70">
    <w:name w:val="三级条标题"/>
    <w:basedOn w:val="71"/>
    <w:next w:val="1"/>
    <w:qFormat/>
    <w:uiPriority w:val="0"/>
    <w:pPr>
      <w:widowControl/>
      <w:tabs>
        <w:tab w:val="left" w:pos="360"/>
        <w:tab w:val="left" w:pos="1500"/>
      </w:tabs>
      <w:ind w:left="1500" w:hanging="1080"/>
      <w:outlineLvl w:val="4"/>
    </w:pPr>
    <w:rPr>
      <w:rFonts w:ascii="等线" w:eastAsia="等线"/>
      <w:kern w:val="0"/>
      <w:szCs w:val="20"/>
    </w:rPr>
  </w:style>
  <w:style w:type="paragraph" w:customStyle="1" w:styleId="71">
    <w:name w:val="二级条标题"/>
    <w:basedOn w:val="72"/>
    <w:next w:val="1"/>
    <w:qFormat/>
    <w:uiPriority w:val="0"/>
    <w:pPr>
      <w:spacing w:before="0" w:beforeLines="0" w:after="0" w:afterLines="0"/>
      <w:ind w:left="945"/>
      <w:outlineLvl w:val="3"/>
    </w:pPr>
  </w:style>
  <w:style w:type="paragraph" w:customStyle="1" w:styleId="72">
    <w:name w:val="一级条标题"/>
    <w:basedOn w:val="73"/>
    <w:next w:val="1"/>
    <w:qFormat/>
    <w:uiPriority w:val="0"/>
    <w:pPr>
      <w:outlineLvl w:val="2"/>
    </w:pPr>
  </w:style>
  <w:style w:type="paragraph" w:customStyle="1" w:styleId="73">
    <w:name w:val="章标题"/>
    <w:next w:val="1"/>
    <w:qFormat/>
    <w:uiPriority w:val="0"/>
    <w:pPr>
      <w:spacing w:before="156" w:beforeLines="50" w:after="156" w:afterLines="50"/>
      <w:jc w:val="both"/>
      <w:outlineLvl w:val="1"/>
    </w:pPr>
    <w:rPr>
      <w:rFonts w:ascii="等线" w:hAnsi="Calibri" w:eastAsia="等线" w:cs="Times New Roman"/>
      <w:sz w:val="21"/>
      <w:lang w:val="en-US" w:eastAsia="zh-CN" w:bidi="ar-SA"/>
    </w:rPr>
  </w:style>
  <w:style w:type="paragraph" w:customStyle="1" w:styleId="74">
    <w:name w:val=" Char Char Char Char1 Char Char Char Char Char"/>
    <w:basedOn w:val="1"/>
    <w:qFormat/>
    <w:uiPriority w:val="0"/>
    <w:rPr>
      <w:szCs w:val="20"/>
    </w:rPr>
  </w:style>
  <w:style w:type="character" w:customStyle="1" w:styleId="75">
    <w:name w:val="Character Style 4"/>
    <w:qFormat/>
    <w:uiPriority w:val="99"/>
    <w:rPr>
      <w:sz w:val="20"/>
      <w:szCs w:val="20"/>
    </w:rPr>
  </w:style>
  <w:style w:type="character" w:customStyle="1" w:styleId="76">
    <w:name w:val="Character Style 5"/>
    <w:qFormat/>
    <w:uiPriority w:val="99"/>
    <w:rPr>
      <w:rFonts w:ascii="等线 Light" w:eastAsia="等线 Light" w:cs="等线 Light"/>
      <w:sz w:val="28"/>
      <w:szCs w:val="28"/>
    </w:rPr>
  </w:style>
  <w:style w:type="character" w:customStyle="1" w:styleId="77">
    <w:name w:val="表头 Char"/>
    <w:qFormat/>
    <w:uiPriority w:val="0"/>
    <w:rPr>
      <w:kern w:val="2"/>
      <w:sz w:val="24"/>
      <w:szCs w:val="24"/>
    </w:rPr>
  </w:style>
  <w:style w:type="character" w:customStyle="1" w:styleId="78">
    <w:name w:val="标题 1 Char Char Char"/>
    <w:qFormat/>
    <w:uiPriority w:val="0"/>
    <w:rPr>
      <w:rFonts w:eastAsia="等线"/>
      <w:kern w:val="44"/>
      <w:sz w:val="28"/>
      <w:szCs w:val="44"/>
      <w:lang w:val="en-US" w:eastAsia="zh-CN" w:bidi="ar-SA"/>
    </w:rPr>
  </w:style>
  <w:style w:type="character" w:customStyle="1" w:styleId="79">
    <w:name w:val="标题 2 Char1"/>
    <w:qFormat/>
    <w:uiPriority w:val="0"/>
    <w:rPr>
      <w:rFonts w:ascii="Cambria" w:hAnsi="Cambria" w:eastAsia="宋体" w:cs="宋体"/>
      <w:b/>
      <w:bCs/>
      <w:sz w:val="32"/>
      <w:szCs w:val="32"/>
    </w:rPr>
  </w:style>
  <w:style w:type="character" w:customStyle="1" w:styleId="80">
    <w:name w:val="ttitle"/>
    <w:qFormat/>
    <w:uiPriority w:val="0"/>
    <w:rPr>
      <w:rFonts w:ascii="宋体" w:hAnsi="宋体" w:cs="宋体"/>
      <w:sz w:val="24"/>
      <w:szCs w:val="20"/>
    </w:rPr>
  </w:style>
  <w:style w:type="character" w:customStyle="1" w:styleId="81">
    <w:name w:val="正文1 Char Char Char Char Char Char Char Char"/>
    <w:link w:val="82"/>
    <w:qFormat/>
    <w:uiPriority w:val="0"/>
    <w:rPr>
      <w:rFonts w:ascii="宋体" w:hAnsi="宋体" w:eastAsia="等线 Light"/>
      <w:color w:val="000000"/>
      <w:kern w:val="10"/>
      <w:sz w:val="28"/>
      <w:szCs w:val="28"/>
      <w:lang w:val="en-US" w:eastAsia="zh-CN" w:bidi="ar-SA"/>
    </w:rPr>
  </w:style>
  <w:style w:type="paragraph" w:customStyle="1" w:styleId="82">
    <w:name w:val="正文1 Char Char Char Char Char Char Char"/>
    <w:basedOn w:val="1"/>
    <w:link w:val="81"/>
    <w:qFormat/>
    <w:uiPriority w:val="0"/>
    <w:pPr>
      <w:tabs>
        <w:tab w:val="left" w:pos="5327"/>
        <w:tab w:val="left" w:pos="6326"/>
        <w:tab w:val="left" w:pos="7230"/>
        <w:tab w:val="left" w:pos="9301"/>
      </w:tabs>
      <w:autoSpaceDE w:val="0"/>
      <w:autoSpaceDN w:val="0"/>
      <w:adjustRightInd w:val="0"/>
      <w:snapToGrid w:val="0"/>
      <w:spacing w:line="600" w:lineRule="exact"/>
      <w:ind w:firstLine="560" w:firstLineChars="200"/>
      <w:jc w:val="left"/>
    </w:pPr>
    <w:rPr>
      <w:rFonts w:ascii="宋体" w:hAnsi="宋体" w:eastAsia="等线 Light"/>
      <w:color w:val="000000"/>
      <w:kern w:val="10"/>
      <w:sz w:val="28"/>
      <w:szCs w:val="28"/>
    </w:rPr>
  </w:style>
  <w:style w:type="character" w:customStyle="1" w:styleId="83">
    <w:name w:val="正文6"/>
    <w:qFormat/>
    <w:uiPriority w:val="0"/>
    <w:rPr>
      <w:rFonts w:ascii="宋体" w:hAnsi="宋体" w:eastAsia="宋体"/>
      <w:b/>
      <w:bCs/>
      <w:spacing w:val="0"/>
      <w:w w:val="100"/>
      <w:position w:val="0"/>
      <w:sz w:val="28"/>
      <w:szCs w:val="28"/>
      <w:lang w:val="en-US" w:eastAsia="en-US" w:bidi="ar-SA"/>
    </w:rPr>
  </w:style>
  <w:style w:type="character" w:customStyle="1" w:styleId="84">
    <w:name w:val="00表格 Char"/>
    <w:link w:val="85"/>
    <w:qFormat/>
    <w:uiPriority w:val="0"/>
    <w:rPr>
      <w:rFonts w:eastAsia="等线 Light"/>
      <w:sz w:val="24"/>
      <w:szCs w:val="21"/>
      <w:lang w:bidi="ar-SA"/>
    </w:rPr>
  </w:style>
  <w:style w:type="paragraph" w:customStyle="1" w:styleId="85">
    <w:name w:val="00表格"/>
    <w:basedOn w:val="1"/>
    <w:next w:val="1"/>
    <w:link w:val="84"/>
    <w:qFormat/>
    <w:uiPriority w:val="0"/>
    <w:pPr>
      <w:widowControl/>
      <w:adjustRightInd w:val="0"/>
      <w:snapToGrid w:val="0"/>
      <w:spacing w:line="360" w:lineRule="auto"/>
    </w:pPr>
    <w:rPr>
      <w:rFonts w:eastAsia="等线 Light"/>
      <w:kern w:val="0"/>
      <w:sz w:val="24"/>
      <w:szCs w:val="21"/>
    </w:rPr>
  </w:style>
  <w:style w:type="character" w:customStyle="1" w:styleId="86">
    <w:name w:val="批注文字 Char"/>
    <w:qFormat/>
    <w:uiPriority w:val="0"/>
    <w:rPr>
      <w:kern w:val="2"/>
      <w:sz w:val="21"/>
      <w:szCs w:val="24"/>
    </w:rPr>
  </w:style>
  <w:style w:type="character" w:customStyle="1" w:styleId="87">
    <w:name w:val="p0 Char"/>
    <w:link w:val="88"/>
    <w:qFormat/>
    <w:uiPriority w:val="0"/>
    <w:rPr>
      <w:rFonts w:eastAsia="宋体"/>
      <w:sz w:val="24"/>
      <w:szCs w:val="21"/>
      <w:lang w:val="en-US" w:eastAsia="zh-CN" w:bidi="ar-SA"/>
    </w:rPr>
  </w:style>
  <w:style w:type="paragraph" w:customStyle="1" w:styleId="88">
    <w:name w:val="p0"/>
    <w:basedOn w:val="1"/>
    <w:link w:val="87"/>
    <w:qFormat/>
    <w:uiPriority w:val="0"/>
    <w:pPr>
      <w:widowControl/>
      <w:spacing w:line="360" w:lineRule="auto"/>
      <w:ind w:firstLine="480" w:firstLineChars="200"/>
    </w:pPr>
    <w:rPr>
      <w:rFonts w:eastAsia="宋体"/>
      <w:kern w:val="0"/>
      <w:sz w:val="24"/>
      <w:szCs w:val="21"/>
    </w:rPr>
  </w:style>
  <w:style w:type="paragraph" w:customStyle="1" w:styleId="89">
    <w:name w:val="样式 段前: 6 磅 段后: 6 磅 行距: 1.5 倍行距 首行缩进:  2 字符"/>
    <w:basedOn w:val="1"/>
    <w:qFormat/>
    <w:uiPriority w:val="0"/>
    <w:pPr>
      <w:spacing w:line="360" w:lineRule="auto"/>
      <w:ind w:firstLine="560" w:firstLineChars="200"/>
    </w:pPr>
    <w:rPr>
      <w:rFonts w:ascii="宋体" w:hAnsi="宋体"/>
      <w:sz w:val="28"/>
      <w:szCs w:val="28"/>
    </w:rPr>
  </w:style>
  <w:style w:type="paragraph" w:customStyle="1" w:styleId="90">
    <w:name w:val="Char Char Char Char Char Char Char"/>
    <w:basedOn w:val="1"/>
    <w:semiHidden/>
    <w:qFormat/>
    <w:uiPriority w:val="0"/>
    <w:rPr>
      <w:sz w:val="18"/>
      <w:szCs w:val="18"/>
    </w:rPr>
  </w:style>
  <w:style w:type="paragraph" w:customStyle="1" w:styleId="91">
    <w:name w:val=" Char Char Char Char Char Char Char Char Char Char Char Char"/>
    <w:basedOn w:val="1"/>
    <w:qFormat/>
    <w:uiPriority w:val="0"/>
    <w:pPr>
      <w:snapToGrid w:val="0"/>
      <w:spacing w:line="360" w:lineRule="auto"/>
      <w:ind w:firstLine="200" w:firstLineChars="200"/>
    </w:pPr>
    <w:rPr>
      <w:rFonts w:eastAsia="等线 Light"/>
      <w:sz w:val="24"/>
    </w:rPr>
  </w:style>
  <w:style w:type="paragraph" w:customStyle="1" w:styleId="92">
    <w:name w:val="正文 + 首行缩进"/>
    <w:basedOn w:val="1"/>
    <w:qFormat/>
    <w:uiPriority w:val="0"/>
    <w:pPr>
      <w:spacing w:line="500" w:lineRule="exact"/>
      <w:ind w:firstLine="560" w:firstLineChars="200"/>
    </w:pPr>
    <w:rPr>
      <w:rFonts w:cs="宋体"/>
      <w:sz w:val="28"/>
      <w:szCs w:val="20"/>
    </w:rPr>
  </w:style>
  <w:style w:type="paragraph" w:customStyle="1" w:styleId="93">
    <w:name w:val="表格"/>
    <w:basedOn w:val="1"/>
    <w:next w:val="1"/>
    <w:qFormat/>
    <w:uiPriority w:val="0"/>
    <w:pPr>
      <w:adjustRightInd w:val="0"/>
      <w:snapToGrid w:val="0"/>
      <w:jc w:val="center"/>
    </w:pPr>
    <w:rPr>
      <w:rFonts w:ascii="宋体" w:hAnsi="宋体"/>
      <w:sz w:val="24"/>
      <w:szCs w:val="20"/>
    </w:rPr>
  </w:style>
  <w:style w:type="paragraph" w:customStyle="1" w:styleId="94">
    <w:name w:val="BIG BOLD"/>
    <w:basedOn w:val="1"/>
    <w:qFormat/>
    <w:uiPriority w:val="0"/>
    <w:pPr>
      <w:widowControl/>
      <w:tabs>
        <w:tab w:val="left" w:leader="underscore" w:pos="1134"/>
      </w:tabs>
      <w:spacing w:after="200" w:line="276" w:lineRule="auto"/>
      <w:jc w:val="left"/>
    </w:pPr>
    <w:rPr>
      <w:kern w:val="0"/>
      <w:sz w:val="22"/>
      <w:szCs w:val="22"/>
      <w:lang w:eastAsia="en-US" w:bidi="en-US"/>
    </w:rPr>
  </w:style>
  <w:style w:type="paragraph" w:customStyle="1" w:styleId="95">
    <w:name w:val="Style 18"/>
    <w:basedOn w:val="1"/>
    <w:qFormat/>
    <w:uiPriority w:val="99"/>
    <w:pPr>
      <w:autoSpaceDE w:val="0"/>
      <w:autoSpaceDN w:val="0"/>
      <w:spacing w:before="144" w:line="504" w:lineRule="exact"/>
      <w:ind w:left="72" w:right="72" w:firstLine="504"/>
    </w:pPr>
    <w:rPr>
      <w:rFonts w:ascii="等线 Light" w:hAnsi="宋体" w:eastAsia="等线 Light" w:cs="等线 Light"/>
      <w:kern w:val="0"/>
      <w:sz w:val="28"/>
      <w:szCs w:val="28"/>
    </w:rPr>
  </w:style>
  <w:style w:type="paragraph" w:customStyle="1" w:styleId="96">
    <w:name w:val="_Style 154"/>
    <w:basedOn w:val="1"/>
    <w:qFormat/>
    <w:uiPriority w:val="0"/>
    <w:rPr>
      <w:sz w:val="28"/>
      <w:szCs w:val="20"/>
    </w:rPr>
  </w:style>
  <w:style w:type="paragraph" w:customStyle="1" w:styleId="97">
    <w:name w:val="图表  头"/>
    <w:basedOn w:val="1"/>
    <w:qFormat/>
    <w:uiPriority w:val="0"/>
    <w:pPr>
      <w:adjustRightInd w:val="0"/>
      <w:snapToGrid w:val="0"/>
      <w:spacing w:line="360" w:lineRule="auto"/>
      <w:jc w:val="center"/>
    </w:pPr>
    <w:rPr>
      <w:rFonts w:ascii="宋体" w:hAnsi="宋体"/>
      <w:b/>
      <w:sz w:val="24"/>
      <w:szCs w:val="22"/>
    </w:rPr>
  </w:style>
  <w:style w:type="paragraph" w:customStyle="1" w:styleId="98">
    <w:name w:val="noindent"/>
    <w:basedOn w:val="1"/>
    <w:qFormat/>
    <w:uiPriority w:val="0"/>
    <w:pPr>
      <w:widowControl/>
      <w:jc w:val="left"/>
    </w:pPr>
    <w:rPr>
      <w:rFonts w:ascii="宋体" w:hAnsi="宋体" w:cs="宋体"/>
      <w:kern w:val="0"/>
      <w:sz w:val="24"/>
    </w:rPr>
  </w:style>
  <w:style w:type="paragraph" w:customStyle="1" w:styleId="99">
    <w:name w:val="样式 首行缩进:  2 字符"/>
    <w:basedOn w:val="1"/>
    <w:qFormat/>
    <w:uiPriority w:val="0"/>
    <w:pPr>
      <w:tabs>
        <w:tab w:val="left" w:pos="5327"/>
        <w:tab w:val="left" w:pos="6326"/>
        <w:tab w:val="left" w:pos="7230"/>
        <w:tab w:val="left" w:pos="9301"/>
      </w:tabs>
      <w:spacing w:line="500" w:lineRule="exact"/>
      <w:ind w:firstLine="560" w:firstLineChars="200"/>
    </w:pPr>
    <w:rPr>
      <w:rFonts w:ascii="宋体" w:hAnsi="宋体" w:eastAsia="等线 Light" w:cs="宋体"/>
      <w:sz w:val="28"/>
      <w:szCs w:val="20"/>
    </w:rPr>
  </w:style>
  <w:style w:type="paragraph" w:customStyle="1" w:styleId="100">
    <w:name w:val="_Style 15"/>
    <w:basedOn w:val="1"/>
    <w:qFormat/>
    <w:uiPriority w:val="0"/>
    <w:pPr>
      <w:spacing w:line="360" w:lineRule="auto"/>
      <w:ind w:firstLine="200" w:firstLineChars="200"/>
    </w:pPr>
    <w:rPr>
      <w:rFonts w:ascii="宋体" w:hAnsi="宋体" w:cs="宋体"/>
      <w:sz w:val="24"/>
      <w:szCs w:val="20"/>
    </w:rPr>
  </w:style>
  <w:style w:type="paragraph" w:customStyle="1" w:styleId="101">
    <w:name w:val="Char Char Char Char"/>
    <w:basedOn w:val="1"/>
    <w:qFormat/>
    <w:uiPriority w:val="0"/>
  </w:style>
  <w:style w:type="paragraph" w:customStyle="1" w:styleId="102">
    <w:name w:val=" Char"/>
    <w:basedOn w:val="1"/>
    <w:qFormat/>
    <w:uiPriority w:val="0"/>
    <w:pPr>
      <w:spacing w:line="360" w:lineRule="auto"/>
      <w:ind w:firstLine="200" w:firstLineChars="200"/>
    </w:pPr>
    <w:rPr>
      <w:rFonts w:ascii="Verdana" w:hAnsi="Verdana"/>
      <w:b/>
      <w:bCs/>
      <w:sz w:val="24"/>
      <w:szCs w:val="22"/>
      <w:lang w:eastAsia="en-US"/>
    </w:rPr>
  </w:style>
  <w:style w:type="paragraph" w:customStyle="1" w:styleId="103">
    <w:name w:val="正文1 Char"/>
    <w:basedOn w:val="1"/>
    <w:link w:val="104"/>
    <w:qFormat/>
    <w:uiPriority w:val="0"/>
    <w:pPr>
      <w:tabs>
        <w:tab w:val="left" w:pos="5327"/>
        <w:tab w:val="left" w:pos="6326"/>
        <w:tab w:val="left" w:pos="7230"/>
        <w:tab w:val="left" w:pos="9301"/>
      </w:tabs>
      <w:autoSpaceDE w:val="0"/>
      <w:autoSpaceDN w:val="0"/>
      <w:adjustRightInd w:val="0"/>
      <w:snapToGrid w:val="0"/>
      <w:spacing w:line="500" w:lineRule="exact"/>
      <w:ind w:firstLine="560" w:firstLineChars="200"/>
    </w:pPr>
    <w:rPr>
      <w:rFonts w:ascii="宋体" w:hAnsi="宋体"/>
      <w:color w:val="000000"/>
      <w:kern w:val="10"/>
      <w:szCs w:val="28"/>
      <w:lang w:val="zh-CN"/>
    </w:rPr>
  </w:style>
  <w:style w:type="character" w:customStyle="1" w:styleId="104">
    <w:name w:val="正文1 Char Char"/>
    <w:link w:val="103"/>
    <w:qFormat/>
    <w:uiPriority w:val="0"/>
    <w:rPr>
      <w:rFonts w:ascii="宋体" w:hAnsi="宋体"/>
      <w:color w:val="000000"/>
      <w:kern w:val="10"/>
      <w:sz w:val="21"/>
      <w:szCs w:val="28"/>
      <w:lang w:val="zh-CN"/>
    </w:rPr>
  </w:style>
  <w:style w:type="paragraph" w:customStyle="1" w:styleId="105">
    <w:name w:val=" Char Char Char"/>
    <w:basedOn w:val="1"/>
    <w:next w:val="2"/>
    <w:qFormat/>
    <w:uiPriority w:val="0"/>
  </w:style>
  <w:style w:type="paragraph" w:customStyle="1" w:styleId="106">
    <w:name w:val="img"/>
    <w:basedOn w:val="1"/>
    <w:qFormat/>
    <w:uiPriority w:val="0"/>
    <w:pPr>
      <w:widowControl/>
      <w:jc w:val="center"/>
    </w:pPr>
    <w:rPr>
      <w:rFonts w:ascii="宋体" w:hAnsi="宋体" w:cs="宋体"/>
      <w:kern w:val="0"/>
      <w:sz w:val="24"/>
    </w:rPr>
  </w:style>
  <w:style w:type="paragraph" w:customStyle="1" w:styleId="107">
    <w:name w:val="List Paragraph"/>
    <w:basedOn w:val="1"/>
    <w:qFormat/>
    <w:uiPriority w:val="0"/>
    <w:pPr>
      <w:widowControl/>
      <w:ind w:firstLine="420" w:firstLineChars="200"/>
      <w:jc w:val="left"/>
    </w:pPr>
    <w:rPr>
      <w:rFonts w:ascii="Calibri" w:hAnsi="Calibri"/>
      <w:kern w:val="0"/>
      <w:sz w:val="24"/>
      <w:lang w:eastAsia="en-US"/>
    </w:rPr>
  </w:style>
  <w:style w:type="paragraph" w:customStyle="1" w:styleId="108">
    <w:name w:val="表格1"/>
    <w:qFormat/>
    <w:uiPriority w:val="0"/>
    <w:pPr>
      <w:adjustRightInd w:val="0"/>
      <w:spacing w:line="360" w:lineRule="auto"/>
      <w:jc w:val="center"/>
      <w:textAlignment w:val="center"/>
    </w:pPr>
    <w:rPr>
      <w:rFonts w:ascii="Times New Roman" w:hAnsi="Times New Roman" w:eastAsia="宋体" w:cs="Times New Roman"/>
      <w:sz w:val="21"/>
      <w:lang w:val="en-US" w:eastAsia="zh-CN" w:bidi="ar-SA"/>
    </w:rPr>
  </w:style>
  <w:style w:type="paragraph" w:customStyle="1" w:styleId="109">
    <w:name w:val="Style 17"/>
    <w:basedOn w:val="1"/>
    <w:qFormat/>
    <w:uiPriority w:val="99"/>
    <w:pPr>
      <w:autoSpaceDE w:val="0"/>
      <w:autoSpaceDN w:val="0"/>
      <w:adjustRightInd w:val="0"/>
      <w:jc w:val="left"/>
    </w:pPr>
    <w:rPr>
      <w:rFonts w:ascii="宋体" w:hAnsi="宋体"/>
      <w:kern w:val="0"/>
      <w:sz w:val="20"/>
      <w:szCs w:val="20"/>
    </w:rPr>
  </w:style>
  <w:style w:type="paragraph" w:customStyle="1" w:styleId="110">
    <w:name w:val="Style 7"/>
    <w:basedOn w:val="1"/>
    <w:qFormat/>
    <w:uiPriority w:val="99"/>
    <w:pPr>
      <w:autoSpaceDE w:val="0"/>
      <w:autoSpaceDN w:val="0"/>
      <w:spacing w:before="144" w:line="360" w:lineRule="exact"/>
      <w:ind w:left="648"/>
      <w:jc w:val="left"/>
    </w:pPr>
    <w:rPr>
      <w:rFonts w:ascii="等线 Light" w:hAnsi="宋体" w:eastAsia="等线 Light" w:cs="等线 Light"/>
      <w:kern w:val="0"/>
      <w:sz w:val="28"/>
      <w:szCs w:val="28"/>
    </w:rPr>
  </w:style>
  <w:style w:type="paragraph" w:customStyle="1" w:styleId="111">
    <w:name w:val=" Char Char Char Char"/>
    <w:basedOn w:val="1"/>
    <w:qFormat/>
    <w:uiPriority w:val="0"/>
    <w:pPr>
      <w:spacing w:line="360" w:lineRule="auto"/>
      <w:ind w:firstLine="200" w:firstLineChars="200"/>
    </w:pPr>
    <w:rPr>
      <w:szCs w:val="20"/>
    </w:rPr>
  </w:style>
  <w:style w:type="paragraph" w:customStyle="1" w:styleId="112">
    <w:name w:val="默认段落字体 Para Char Char Char Char Char Char Char"/>
    <w:basedOn w:val="1"/>
    <w:qFormat/>
    <w:uiPriority w:val="0"/>
    <w:pPr>
      <w:adjustRightInd w:val="0"/>
      <w:ind w:firstLine="720" w:firstLineChars="200"/>
      <w:textAlignment w:val="baseline"/>
    </w:pPr>
    <w:rPr>
      <w:rFonts w:ascii="Verdana" w:hAnsi="Verdana"/>
      <w:b/>
      <w:bCs/>
      <w:sz w:val="24"/>
      <w:lang w:eastAsia="en-US"/>
    </w:rPr>
  </w:style>
  <w:style w:type="character" w:customStyle="1" w:styleId="113">
    <w:name w:val="正文文本 (2) + 7 pt"/>
    <w:unhideWhenUsed/>
    <w:qFormat/>
    <w:uiPriority w:val="99"/>
    <w:rPr>
      <w:rFonts w:hint="eastAsia"/>
      <w:b/>
      <w:sz w:val="14"/>
      <w:szCs w:val="14"/>
    </w:rPr>
  </w:style>
  <w:style w:type="character" w:customStyle="1" w:styleId="114">
    <w:name w:val="正文文本 (2)_"/>
    <w:link w:val="115"/>
    <w:unhideWhenUsed/>
    <w:qFormat/>
    <w:uiPriority w:val="99"/>
    <w:rPr>
      <w:rFonts w:ascii="宋体" w:eastAsia="宋体"/>
      <w:sz w:val="26"/>
      <w:shd w:val="clear" w:color="auto" w:fill="FFFFFF"/>
    </w:rPr>
  </w:style>
  <w:style w:type="paragraph" w:customStyle="1" w:styleId="115">
    <w:name w:val="正文文本 (2)1"/>
    <w:basedOn w:val="1"/>
    <w:link w:val="114"/>
    <w:qFormat/>
    <w:uiPriority w:val="0"/>
    <w:pPr>
      <w:shd w:val="clear" w:color="auto" w:fill="FFFFFF"/>
      <w:spacing w:line="312" w:lineRule="exact"/>
      <w:ind w:hanging="1660"/>
      <w:jc w:val="distribute"/>
    </w:pPr>
    <w:rPr>
      <w:rFonts w:ascii="宋体" w:eastAsia="宋体"/>
      <w:sz w:val="26"/>
      <w:shd w:val="clear" w:color="auto" w:fill="FFFFFF"/>
    </w:rPr>
  </w:style>
  <w:style w:type="paragraph" w:customStyle="1" w:styleId="116">
    <w:name w:val="正文文本 (2)"/>
    <w:basedOn w:val="1"/>
    <w:link w:val="114"/>
    <w:unhideWhenUsed/>
    <w:qFormat/>
    <w:uiPriority w:val="99"/>
    <w:pPr>
      <w:shd w:val="clear" w:color="auto" w:fill="FFFFFF"/>
      <w:spacing w:beforeLines="0" w:afterLines="0" w:line="237" w:lineRule="exact"/>
      <w:ind w:firstLine="420"/>
      <w:jc w:val="distribute"/>
    </w:pPr>
    <w:rPr>
      <w:rFonts w:hint="eastAsia" w:ascii="宋体" w:hAnsi="宋体" w:eastAsia="宋体"/>
      <w:kern w:val="0"/>
      <w:sz w:val="13"/>
      <w:szCs w:val="13"/>
    </w:rPr>
  </w:style>
  <w:style w:type="paragraph" w:customStyle="1" w:styleId="117">
    <w:name w:val="正文文本 (3)"/>
    <w:basedOn w:val="1"/>
    <w:unhideWhenUsed/>
    <w:qFormat/>
    <w:uiPriority w:val="99"/>
    <w:pPr>
      <w:shd w:val="clear" w:color="auto" w:fill="FFFFFF"/>
      <w:spacing w:beforeLines="0" w:afterLines="0" w:line="267" w:lineRule="exact"/>
      <w:jc w:val="distribute"/>
    </w:pPr>
    <w:rPr>
      <w:rFonts w:hint="eastAsia" w:ascii="宋体" w:hAnsi="宋体" w:eastAsia="宋体"/>
      <w:b/>
      <w:sz w:val="14"/>
      <w:szCs w:val="14"/>
    </w:rPr>
  </w:style>
  <w:style w:type="paragraph" w:customStyle="1" w:styleId="118">
    <w:name w:val="正文一"/>
    <w:basedOn w:val="14"/>
    <w:qFormat/>
    <w:uiPriority w:val="0"/>
    <w:pPr>
      <w:spacing w:line="560" w:lineRule="exact"/>
      <w:ind w:firstLine="639" w:firstLineChars="225"/>
    </w:pPr>
    <w:rPr>
      <w:rFonts w:ascii="等线 Light" w:eastAsia="等线 Light" w:cs="宋体"/>
      <w:spacing w:val="2"/>
      <w:kern w:val="2"/>
      <w:sz w:val="28"/>
      <w:szCs w:val="20"/>
    </w:rPr>
  </w:style>
  <w:style w:type="character" w:customStyle="1" w:styleId="119">
    <w:name w:val="headline-content2"/>
    <w:qFormat/>
    <w:uiPriority w:val="0"/>
  </w:style>
  <w:style w:type="paragraph" w:customStyle="1" w:styleId="120">
    <w:name w:val="正文1"/>
    <w:basedOn w:val="1"/>
    <w:link w:val="121"/>
    <w:qFormat/>
    <w:uiPriority w:val="0"/>
    <w:pPr>
      <w:tabs>
        <w:tab w:val="left" w:pos="0"/>
        <w:tab w:val="left" w:pos="540"/>
      </w:tabs>
      <w:adjustRightInd w:val="0"/>
      <w:snapToGrid w:val="0"/>
      <w:spacing w:line="360" w:lineRule="auto"/>
      <w:ind w:firstLine="600" w:firstLineChars="250"/>
    </w:pPr>
    <w:rPr>
      <w:rFonts w:ascii="宋体" w:hAnsi="宋体"/>
      <w:sz w:val="24"/>
    </w:rPr>
  </w:style>
  <w:style w:type="character" w:customStyle="1" w:styleId="121">
    <w:name w:val="正文1 Char1"/>
    <w:link w:val="120"/>
    <w:qFormat/>
    <w:uiPriority w:val="0"/>
    <w:rPr>
      <w:rFonts w:ascii="宋体" w:hAnsi="宋体" w:cs="Arial"/>
      <w:kern w:val="2"/>
      <w:sz w:val="24"/>
      <w:szCs w:val="24"/>
    </w:rPr>
  </w:style>
  <w:style w:type="paragraph" w:customStyle="1" w:styleId="122">
    <w:name w:val="样式 正文首行缩进 + 首行缩进:  1 字符"/>
    <w:basedOn w:val="33"/>
    <w:link w:val="123"/>
    <w:semiHidden/>
    <w:qFormat/>
    <w:uiPriority w:val="0"/>
    <w:pPr>
      <w:tabs>
        <w:tab w:val="left" w:pos="5327"/>
        <w:tab w:val="left" w:pos="6326"/>
        <w:tab w:val="left" w:pos="7230"/>
        <w:tab w:val="left" w:pos="9301"/>
      </w:tabs>
      <w:spacing w:before="120" w:line="560" w:lineRule="exact"/>
      <w:ind w:firstLine="560" w:firstLineChars="200"/>
      <w:jc w:val="left"/>
    </w:pPr>
    <w:rPr>
      <w:rFonts w:ascii="宋体" w:hAnsi="宋体"/>
      <w:kern w:val="10"/>
      <w:sz w:val="28"/>
      <w:szCs w:val="28"/>
    </w:rPr>
  </w:style>
  <w:style w:type="character" w:customStyle="1" w:styleId="123">
    <w:name w:val="样式 正文首行缩进 + 首行缩进:  1 字符 Char"/>
    <w:link w:val="122"/>
    <w:semiHidden/>
    <w:qFormat/>
    <w:uiPriority w:val="0"/>
    <w:rPr>
      <w:rFonts w:ascii="宋体" w:hAnsi="宋体" w:cs="宋体"/>
      <w:kern w:val="10"/>
      <w:sz w:val="28"/>
      <w:szCs w:val="28"/>
    </w:rPr>
  </w:style>
  <w:style w:type="character" w:customStyle="1" w:styleId="124">
    <w:name w:val="_Style 122"/>
    <w:unhideWhenUsed/>
    <w:qFormat/>
    <w:uiPriority w:val="99"/>
    <w:rPr>
      <w:color w:val="605E5C"/>
      <w:shd w:val="clear" w:color="auto" w:fill="E1DFDD"/>
    </w:rPr>
  </w:style>
  <w:style w:type="character" w:customStyle="1" w:styleId="125">
    <w:name w:val="批注文字 Char1"/>
    <w:qFormat/>
    <w:uiPriority w:val="0"/>
    <w:rPr>
      <w:kern w:val="2"/>
      <w:sz w:val="21"/>
      <w:szCs w:val="24"/>
    </w:rPr>
  </w:style>
  <w:style w:type="character" w:customStyle="1" w:styleId="126">
    <w:name w:val="批注主题 Char"/>
    <w:qFormat/>
    <w:uiPriority w:val="0"/>
    <w:rPr>
      <w:b/>
      <w:bCs/>
      <w:kern w:val="2"/>
      <w:sz w:val="21"/>
      <w:szCs w:val="24"/>
    </w:rPr>
  </w:style>
  <w:style w:type="paragraph" w:customStyle="1" w:styleId="127">
    <w:name w:val="明显引用1"/>
    <w:next w:val="1"/>
    <w:qFormat/>
    <w:uiPriority w:val="0"/>
    <w:pPr>
      <w:wordWrap w:val="0"/>
      <w:spacing w:before="360" w:after="360"/>
      <w:ind w:left="950" w:right="950"/>
      <w:jc w:val="center"/>
    </w:pPr>
    <w:rPr>
      <w:rFonts w:ascii="Times New Roman" w:hAnsi="Times New Roman" w:eastAsia="宋体" w:cs="Times New Roman"/>
      <w:i/>
      <w:sz w:val="21"/>
      <w:lang w:val="en-US" w:eastAsia="zh-CN" w:bidi="ar-SA"/>
    </w:rPr>
  </w:style>
  <w:style w:type="character" w:customStyle="1" w:styleId="128">
    <w:name w:val="font11"/>
    <w:qFormat/>
    <w:uiPriority w:val="0"/>
    <w:rPr>
      <w:rFonts w:hint="eastAsia" w:ascii="宋体" w:hAnsi="宋体" w:eastAsia="宋体" w:cs="宋体"/>
      <w:color w:val="000000"/>
      <w:sz w:val="24"/>
      <w:szCs w:val="24"/>
      <w:u w:val="none"/>
      <w:vertAlign w:val="superscript"/>
    </w:rPr>
  </w:style>
  <w:style w:type="paragraph" w:customStyle="1" w:styleId="129">
    <w:name w:val="正文使用"/>
    <w:basedOn w:val="15"/>
    <w:qFormat/>
    <w:uiPriority w:val="0"/>
    <w:pPr>
      <w:jc w:val="left"/>
    </w:pPr>
    <w:rPr>
      <w:rFonts w:ascii="宋体" w:hAnsi="宋体"/>
      <w:color w:val="auto"/>
    </w:rPr>
  </w:style>
  <w:style w:type="paragraph" w:customStyle="1" w:styleId="130">
    <w:name w:val="正文景"/>
    <w:qFormat/>
    <w:uiPriority w:val="0"/>
    <w:pPr>
      <w:widowControl w:val="0"/>
      <w:spacing w:line="560" w:lineRule="exact"/>
      <w:ind w:firstLine="200" w:firstLineChars="200"/>
    </w:pPr>
    <w:rPr>
      <w:rFonts w:ascii="等线 Light" w:hAnsi="等线 Light" w:eastAsia="宋体" w:cs="等线 Light"/>
      <w:color w:val="000000"/>
      <w:sz w:val="28"/>
      <w:szCs w:val="23"/>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18.wmf"/><Relationship Id="rId25" Type="http://schemas.openxmlformats.org/officeDocument/2006/relationships/image" Target="media/image17.png"/><Relationship Id="rId24" Type="http://schemas.openxmlformats.org/officeDocument/2006/relationships/image" Target="media/image16.png"/><Relationship Id="rId23" Type="http://schemas.openxmlformats.org/officeDocument/2006/relationships/image" Target="media/image15.jpeg"/><Relationship Id="rId22" Type="http://schemas.openxmlformats.org/officeDocument/2006/relationships/image" Target="media/image14.jpeg"/><Relationship Id="rId21" Type="http://schemas.openxmlformats.org/officeDocument/2006/relationships/image" Target="media/image13.jpeg"/><Relationship Id="rId20" Type="http://schemas.openxmlformats.org/officeDocument/2006/relationships/image" Target="media/image12.jpeg"/><Relationship Id="rId2" Type="http://schemas.openxmlformats.org/officeDocument/2006/relationships/settings" Target="settings.xml"/><Relationship Id="rId19" Type="http://schemas.openxmlformats.org/officeDocument/2006/relationships/image" Target="media/image11.jpeg"/><Relationship Id="rId18" Type="http://schemas.openxmlformats.org/officeDocument/2006/relationships/image" Target="media/image10.jpeg"/><Relationship Id="rId17" Type="http://schemas.openxmlformats.org/officeDocument/2006/relationships/image" Target="media/image9.jpeg"/><Relationship Id="rId16" Type="http://schemas.openxmlformats.org/officeDocument/2006/relationships/image" Target="media/image8.jpeg"/><Relationship Id="rId15" Type="http://schemas.openxmlformats.org/officeDocument/2006/relationships/image" Target="media/image7.jpeg"/><Relationship Id="rId14" Type="http://schemas.openxmlformats.org/officeDocument/2006/relationships/image" Target="media/image6.jpeg"/><Relationship Id="rId13" Type="http://schemas.openxmlformats.org/officeDocument/2006/relationships/image" Target="media/image5.jpeg"/><Relationship Id="rId12" Type="http://schemas.openxmlformats.org/officeDocument/2006/relationships/image" Target="media/image4.png"/><Relationship Id="rId11" Type="http://schemas.openxmlformats.org/officeDocument/2006/relationships/image" Target="media/image3.jpe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90</Pages>
  <Words>46154</Words>
  <Characters>51163</Characters>
  <Lines>594</Lines>
  <Paragraphs>167</Paragraphs>
  <TotalTime>0</TotalTime>
  <ScaleCrop>false</ScaleCrop>
  <LinksUpToDate>false</LinksUpToDate>
  <CharactersWithSpaces>51534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2022-06-11T09:34:00Z</dcterms:created>
  <dc:creator>Administrator</dc:creator>
  <cp:lastModifiedBy>荒</cp:lastModifiedBy>
  <cp:lastPrinted>2015-06-17T08:22:00Z</cp:lastPrinted>
  <dcterms:modified xsi:type="dcterms:W3CDTF">2024-07-31T06:52:17Z</dcterms:modified>
  <dc:title>目  录</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ADA5BDE3A72F46B8BC760B41629FB7C9_13</vt:lpwstr>
  </property>
  <property fmtid="{D5CDD505-2E9C-101B-9397-08002B2CF9AE}" pid="4" name="commondata">
    <vt:lpwstr>eyJoZGlkIjoiMWU2MjIyZDA0NmJiZTI1ODc5NjQ2OTA4YmNlMzMxY2EifQ==</vt:lpwstr>
  </property>
</Properties>
</file>